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48C" w:rsidRDefault="0072048C" w:rsidP="00BD5CBC">
      <w:pPr>
        <w:jc w:val="center"/>
        <w:rPr>
          <w:b/>
          <w:sz w:val="32"/>
        </w:rPr>
      </w:pPr>
      <w:r>
        <w:rPr>
          <w:rFonts w:hint="eastAsia"/>
          <w:b/>
          <w:sz w:val="32"/>
        </w:rPr>
        <w:t>生活垃圾填埋场存量垃圾渗滤液入市政污水处理厂处理的政策分析及实施方案</w:t>
      </w:r>
    </w:p>
    <w:p w:rsidR="00746147" w:rsidRDefault="00746147" w:rsidP="00746147">
      <w:pPr>
        <w:jc w:val="center"/>
        <w:rPr>
          <w:sz w:val="28"/>
        </w:rPr>
      </w:pPr>
    </w:p>
    <w:p w:rsidR="00746147" w:rsidRDefault="00746147" w:rsidP="00746147">
      <w:pPr>
        <w:jc w:val="left"/>
        <w:rPr>
          <w:b/>
          <w:sz w:val="28"/>
        </w:rPr>
      </w:pPr>
      <w:r w:rsidRPr="00746147">
        <w:rPr>
          <w:rFonts w:hint="eastAsia"/>
          <w:b/>
          <w:sz w:val="28"/>
        </w:rPr>
        <w:t>一、项目背景</w:t>
      </w:r>
    </w:p>
    <w:p w:rsidR="0072048C" w:rsidRDefault="0072048C" w:rsidP="0072048C">
      <w:pPr>
        <w:spacing w:line="360" w:lineRule="auto"/>
        <w:ind w:firstLineChars="200" w:firstLine="480"/>
        <w:rPr>
          <w:rFonts w:ascii="Times New Roman" w:eastAsia="宋体" w:hAnsi="Times New Roman" w:cs="Times New Roman"/>
          <w:sz w:val="24"/>
          <w:szCs w:val="24"/>
        </w:rPr>
      </w:pPr>
      <w:r w:rsidRPr="0072048C">
        <w:rPr>
          <w:rFonts w:ascii="Times New Roman" w:eastAsia="宋体" w:hAnsi="Times New Roman" w:cs="Times New Roman" w:hint="eastAsia"/>
          <w:sz w:val="24"/>
          <w:szCs w:val="24"/>
        </w:rPr>
        <w:t>城镇生活垃圾无害化处理设施是城镇发展不可或缺的基础设施，是人民安全健康生活的重要保障。“十二五”以来，在国务院相关部门和地方各级人民政府的大力推动下，各地加大资金投入，城镇生活垃圾无害化处理工作取得了重大进展，垃圾收运体系日趋完善，处</w:t>
      </w:r>
      <w:bookmarkStart w:id="0" w:name="_GoBack"/>
      <w:bookmarkEnd w:id="0"/>
      <w:r w:rsidRPr="0072048C">
        <w:rPr>
          <w:rFonts w:ascii="Times New Roman" w:eastAsia="宋体" w:hAnsi="Times New Roman" w:cs="Times New Roman" w:hint="eastAsia"/>
          <w:sz w:val="24"/>
          <w:szCs w:val="24"/>
        </w:rPr>
        <w:t>理设施数量和能力快速增长，生活垃圾无害化处理率显著提高。截至</w:t>
      </w:r>
      <w:r w:rsidRPr="0072048C">
        <w:rPr>
          <w:rFonts w:ascii="Times New Roman" w:eastAsia="宋体" w:hAnsi="Times New Roman" w:cs="Times New Roman"/>
          <w:sz w:val="24"/>
          <w:szCs w:val="24"/>
        </w:rPr>
        <w:t xml:space="preserve">2015 </w:t>
      </w:r>
      <w:r w:rsidRPr="0072048C">
        <w:rPr>
          <w:rFonts w:ascii="Times New Roman" w:eastAsia="宋体" w:hAnsi="Times New Roman" w:cs="Times New Roman" w:hint="eastAsia"/>
          <w:sz w:val="24"/>
          <w:szCs w:val="24"/>
        </w:rPr>
        <w:t>年，全国设市城市和县城生活垃圾无害化处理能力达到</w:t>
      </w:r>
      <w:r w:rsidRPr="0072048C">
        <w:rPr>
          <w:rFonts w:ascii="Times New Roman" w:eastAsia="宋体" w:hAnsi="Times New Roman" w:cs="Times New Roman"/>
          <w:sz w:val="24"/>
          <w:szCs w:val="24"/>
        </w:rPr>
        <w:t xml:space="preserve">75.8 </w:t>
      </w:r>
      <w:r w:rsidRPr="0072048C">
        <w:rPr>
          <w:rFonts w:ascii="Times New Roman" w:eastAsia="宋体" w:hAnsi="Times New Roman" w:cs="Times New Roman" w:hint="eastAsia"/>
          <w:sz w:val="24"/>
          <w:szCs w:val="24"/>
        </w:rPr>
        <w:t>万吨</w:t>
      </w:r>
      <w:r w:rsidRPr="0072048C">
        <w:rPr>
          <w:rFonts w:ascii="Times New Roman" w:eastAsia="宋体" w:hAnsi="Times New Roman" w:cs="Times New Roman"/>
          <w:sz w:val="24"/>
          <w:szCs w:val="24"/>
        </w:rPr>
        <w:t>/</w:t>
      </w:r>
      <w:r w:rsidRPr="0072048C">
        <w:rPr>
          <w:rFonts w:ascii="Times New Roman" w:eastAsia="宋体" w:hAnsi="Times New Roman" w:cs="Times New Roman" w:hint="eastAsia"/>
          <w:sz w:val="24"/>
          <w:szCs w:val="24"/>
        </w:rPr>
        <w:t>日，比</w:t>
      </w:r>
      <w:r w:rsidRPr="0072048C">
        <w:rPr>
          <w:rFonts w:ascii="Times New Roman" w:eastAsia="宋体" w:hAnsi="Times New Roman" w:cs="Times New Roman"/>
          <w:sz w:val="24"/>
          <w:szCs w:val="24"/>
        </w:rPr>
        <w:t xml:space="preserve">2010 </w:t>
      </w:r>
      <w:r w:rsidRPr="0072048C">
        <w:rPr>
          <w:rFonts w:ascii="Times New Roman" w:eastAsia="宋体" w:hAnsi="Times New Roman" w:cs="Times New Roman" w:hint="eastAsia"/>
          <w:sz w:val="24"/>
          <w:szCs w:val="24"/>
        </w:rPr>
        <w:t>年增加</w:t>
      </w:r>
      <w:r w:rsidRPr="0072048C">
        <w:rPr>
          <w:rFonts w:ascii="Times New Roman" w:eastAsia="宋体" w:hAnsi="Times New Roman" w:cs="Times New Roman"/>
          <w:sz w:val="24"/>
          <w:szCs w:val="24"/>
        </w:rPr>
        <w:t xml:space="preserve">30.1 </w:t>
      </w:r>
      <w:r w:rsidRPr="0072048C">
        <w:rPr>
          <w:rFonts w:ascii="Times New Roman" w:eastAsia="宋体" w:hAnsi="Times New Roman" w:cs="Times New Roman" w:hint="eastAsia"/>
          <w:sz w:val="24"/>
          <w:szCs w:val="24"/>
        </w:rPr>
        <w:t>万吨</w:t>
      </w:r>
      <w:r w:rsidRPr="0072048C">
        <w:rPr>
          <w:rFonts w:ascii="Times New Roman" w:eastAsia="宋体" w:hAnsi="Times New Roman" w:cs="Times New Roman"/>
          <w:sz w:val="24"/>
          <w:szCs w:val="24"/>
        </w:rPr>
        <w:t>/</w:t>
      </w:r>
      <w:r w:rsidRPr="0072048C">
        <w:rPr>
          <w:rFonts w:ascii="Times New Roman" w:eastAsia="宋体" w:hAnsi="Times New Roman" w:cs="Times New Roman" w:hint="eastAsia"/>
          <w:sz w:val="24"/>
          <w:szCs w:val="24"/>
        </w:rPr>
        <w:t>日，生活垃圾无害化处理率达到</w:t>
      </w:r>
      <w:r w:rsidRPr="0072048C">
        <w:rPr>
          <w:rFonts w:ascii="Times New Roman" w:eastAsia="宋体" w:hAnsi="Times New Roman" w:cs="Times New Roman"/>
          <w:sz w:val="24"/>
          <w:szCs w:val="24"/>
        </w:rPr>
        <w:t>90.2%</w:t>
      </w:r>
      <w:r w:rsidRPr="0072048C">
        <w:rPr>
          <w:rFonts w:ascii="Times New Roman" w:eastAsia="宋体" w:hAnsi="Times New Roman" w:cs="Times New Roman" w:hint="eastAsia"/>
          <w:sz w:val="24"/>
          <w:szCs w:val="24"/>
        </w:rPr>
        <w:t>，其中设市城市</w:t>
      </w:r>
      <w:r w:rsidRPr="0072048C">
        <w:rPr>
          <w:rFonts w:ascii="Times New Roman" w:eastAsia="宋体" w:hAnsi="Times New Roman" w:cs="Times New Roman"/>
          <w:sz w:val="24"/>
          <w:szCs w:val="24"/>
        </w:rPr>
        <w:t>94.1%</w:t>
      </w:r>
      <w:r w:rsidRPr="0072048C">
        <w:rPr>
          <w:rFonts w:ascii="Times New Roman" w:eastAsia="宋体" w:hAnsi="Times New Roman" w:cs="Times New Roman" w:hint="eastAsia"/>
          <w:sz w:val="24"/>
          <w:szCs w:val="24"/>
        </w:rPr>
        <w:t>，县城</w:t>
      </w:r>
      <w:r w:rsidRPr="0072048C">
        <w:rPr>
          <w:rFonts w:ascii="Times New Roman" w:eastAsia="宋体" w:hAnsi="Times New Roman" w:cs="Times New Roman"/>
          <w:sz w:val="24"/>
          <w:szCs w:val="24"/>
        </w:rPr>
        <w:t>79.0%</w:t>
      </w:r>
      <w:r w:rsidRPr="0072048C">
        <w:rPr>
          <w:rFonts w:ascii="Times New Roman" w:eastAsia="宋体" w:hAnsi="Times New Roman" w:cs="Times New Roman" w:hint="eastAsia"/>
          <w:sz w:val="24"/>
          <w:szCs w:val="24"/>
        </w:rPr>
        <w:t>，超额完成“十二五”规划确定的无害化处理率目标。但同时也应看到，随着城镇化的快速发展和人民生活水平日益提高，我国城镇生活垃圾清运量仍在快速增长，生活垃圾无害化处理能力和水平仍相对不足，大部分建制镇的生活垃圾难以实现无害化处理，垃圾回收利用率有待提高。为此，“十三五”期间应按照公共服务均等化的要求，继续加大生活垃圾无害化处理能力建设，提升运营管理水平，拓展服务范围，加快垃圾收运处理领域的市场化进程，推进生活垃圾源头分类，提高资源化利用水平，最终实现垃圾的减量化、资源化和无害化</w:t>
      </w:r>
      <w:r>
        <w:rPr>
          <w:rFonts w:ascii="Times New Roman" w:eastAsia="宋体" w:hAnsi="Times New Roman" w:cs="Times New Roman" w:hint="eastAsia"/>
          <w:sz w:val="24"/>
          <w:szCs w:val="24"/>
        </w:rPr>
        <w:t>。</w:t>
      </w:r>
    </w:p>
    <w:p w:rsidR="00746147" w:rsidRDefault="0072048C" w:rsidP="001133E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垃圾渗滤液处理处置是城镇生活垃圾无害化处理设施的重要一环。另外目前国内很多垃圾填埋场渗滤液处理设施能力不足，导致出现大</w:t>
      </w:r>
      <w:r w:rsidR="001133ED">
        <w:rPr>
          <w:rFonts w:ascii="Times New Roman" w:eastAsia="宋体" w:hAnsi="Times New Roman" w:cs="Times New Roman" w:hint="eastAsia"/>
          <w:sz w:val="24"/>
          <w:szCs w:val="24"/>
        </w:rPr>
        <w:t>量存量垃圾渗滤液，如何处理处置存量垃圾渗滤液成为摆在我们面前的一道难题。</w:t>
      </w:r>
    </w:p>
    <w:p w:rsidR="001133ED" w:rsidRPr="004D3B8F" w:rsidRDefault="001133ED" w:rsidP="001133ED">
      <w:pPr>
        <w:jc w:val="left"/>
        <w:rPr>
          <w:b/>
          <w:sz w:val="28"/>
        </w:rPr>
      </w:pPr>
      <w:r>
        <w:rPr>
          <w:rFonts w:hint="eastAsia"/>
          <w:b/>
          <w:sz w:val="28"/>
        </w:rPr>
        <w:t>二、垃圾渗滤液处理的发展过程</w:t>
      </w:r>
    </w:p>
    <w:p w:rsidR="001133ED" w:rsidRDefault="001133ED" w:rsidP="001133ED">
      <w:pPr>
        <w:spacing w:line="360" w:lineRule="auto"/>
        <w:ind w:firstLineChars="200" w:firstLine="480"/>
        <w:rPr>
          <w:sz w:val="24"/>
          <w:szCs w:val="24"/>
        </w:rPr>
      </w:pPr>
      <w:r>
        <w:rPr>
          <w:rFonts w:hint="eastAsia"/>
          <w:sz w:val="24"/>
          <w:szCs w:val="24"/>
        </w:rPr>
        <w:t>我国生活垃圾渗滤液处理技术的发展，经历了四个阶段，分别如下：</w:t>
      </w:r>
    </w:p>
    <w:p w:rsidR="001133ED" w:rsidRDefault="001133ED" w:rsidP="001133ED">
      <w:pPr>
        <w:spacing w:line="360" w:lineRule="auto"/>
        <w:ind w:firstLineChars="200" w:firstLine="480"/>
        <w:rPr>
          <w:sz w:val="24"/>
          <w:szCs w:val="24"/>
        </w:rPr>
      </w:pPr>
      <w:r>
        <w:rPr>
          <w:rFonts w:hint="eastAsia"/>
          <w:sz w:val="24"/>
          <w:szCs w:val="24"/>
        </w:rPr>
        <w:t>1</w:t>
      </w:r>
      <w:r>
        <w:rPr>
          <w:rFonts w:hint="eastAsia"/>
          <w:sz w:val="24"/>
          <w:szCs w:val="24"/>
        </w:rPr>
        <w:t>、</w:t>
      </w:r>
      <w:r>
        <w:rPr>
          <w:rFonts w:hint="eastAsia"/>
          <w:sz w:val="24"/>
          <w:szCs w:val="24"/>
        </w:rPr>
        <w:t>20</w:t>
      </w:r>
      <w:r>
        <w:rPr>
          <w:rFonts w:hint="eastAsia"/>
          <w:sz w:val="24"/>
          <w:szCs w:val="24"/>
        </w:rPr>
        <w:t>世纪</w:t>
      </w:r>
      <w:r>
        <w:rPr>
          <w:rFonts w:hint="eastAsia"/>
          <w:sz w:val="24"/>
          <w:szCs w:val="24"/>
        </w:rPr>
        <w:t>90</w:t>
      </w:r>
      <w:r>
        <w:rPr>
          <w:rFonts w:hint="eastAsia"/>
          <w:sz w:val="24"/>
          <w:szCs w:val="24"/>
        </w:rPr>
        <w:t>年度初，借鉴污水处理厂以“生物法”为主，代表工程有北京阿苏卫生活垃圾填埋场（氧化沟工艺）、武汉金口生活垃圾填埋场（升流式厌氧污泥床</w:t>
      </w:r>
      <w:r>
        <w:rPr>
          <w:rFonts w:hint="eastAsia"/>
          <w:sz w:val="24"/>
          <w:szCs w:val="24"/>
        </w:rPr>
        <w:t>UASB</w:t>
      </w:r>
      <w:r>
        <w:rPr>
          <w:rFonts w:hint="eastAsia"/>
          <w:sz w:val="24"/>
          <w:szCs w:val="24"/>
        </w:rPr>
        <w:t>）、上海老港（生物</w:t>
      </w:r>
      <w:proofErr w:type="gramStart"/>
      <w:r>
        <w:rPr>
          <w:rFonts w:hint="eastAsia"/>
          <w:sz w:val="24"/>
          <w:szCs w:val="24"/>
        </w:rPr>
        <w:t>稳定塘</w:t>
      </w:r>
      <w:proofErr w:type="gramEnd"/>
      <w:r>
        <w:rPr>
          <w:rFonts w:hint="eastAsia"/>
          <w:sz w:val="24"/>
          <w:szCs w:val="24"/>
        </w:rPr>
        <w:t>和土地处理相结合）。</w:t>
      </w:r>
    </w:p>
    <w:p w:rsidR="001133ED" w:rsidRDefault="001133ED" w:rsidP="001133ED">
      <w:pPr>
        <w:spacing w:line="360" w:lineRule="auto"/>
        <w:ind w:firstLineChars="200" w:firstLine="480"/>
        <w:rPr>
          <w:sz w:val="24"/>
          <w:szCs w:val="24"/>
        </w:rPr>
      </w:pPr>
      <w:r>
        <w:rPr>
          <w:rFonts w:hint="eastAsia"/>
          <w:sz w:val="24"/>
          <w:szCs w:val="24"/>
        </w:rPr>
        <w:t>这个阶段工艺的主要问题在于技术参数不能适应渗滤液主要污染物变化，处理效果逐年下降。</w:t>
      </w:r>
    </w:p>
    <w:p w:rsidR="001133ED" w:rsidRDefault="001133ED" w:rsidP="001133ED">
      <w:pPr>
        <w:spacing w:line="360" w:lineRule="auto"/>
        <w:ind w:firstLineChars="200" w:firstLine="480"/>
        <w:rPr>
          <w:sz w:val="24"/>
          <w:szCs w:val="24"/>
        </w:rPr>
      </w:pPr>
      <w:r>
        <w:rPr>
          <w:rFonts w:hint="eastAsia"/>
          <w:sz w:val="24"/>
          <w:szCs w:val="24"/>
        </w:rPr>
        <w:lastRenderedPageBreak/>
        <w:t>2</w:t>
      </w:r>
      <w:r>
        <w:rPr>
          <w:rFonts w:hint="eastAsia"/>
          <w:sz w:val="24"/>
          <w:szCs w:val="24"/>
        </w:rPr>
        <w:t>、</w:t>
      </w:r>
      <w:r>
        <w:rPr>
          <w:rFonts w:hint="eastAsia"/>
          <w:sz w:val="24"/>
          <w:szCs w:val="24"/>
        </w:rPr>
        <w:t>20</w:t>
      </w:r>
      <w:r>
        <w:rPr>
          <w:rFonts w:hint="eastAsia"/>
          <w:sz w:val="24"/>
          <w:szCs w:val="24"/>
        </w:rPr>
        <w:t>世纪</w:t>
      </w:r>
      <w:r>
        <w:rPr>
          <w:rFonts w:hint="eastAsia"/>
          <w:sz w:val="24"/>
          <w:szCs w:val="24"/>
        </w:rPr>
        <w:t>90</w:t>
      </w:r>
      <w:r>
        <w:rPr>
          <w:rFonts w:hint="eastAsia"/>
          <w:sz w:val="24"/>
          <w:szCs w:val="24"/>
        </w:rPr>
        <w:t>年代中后期，采用物化预处理</w:t>
      </w:r>
      <w:r>
        <w:rPr>
          <w:rFonts w:hint="eastAsia"/>
          <w:sz w:val="24"/>
          <w:szCs w:val="24"/>
        </w:rPr>
        <w:t>+</w:t>
      </w:r>
      <w:r>
        <w:rPr>
          <w:rFonts w:hint="eastAsia"/>
          <w:sz w:val="24"/>
          <w:szCs w:val="24"/>
        </w:rPr>
        <w:t>生物处理工艺。预处理主要</w:t>
      </w:r>
      <w:proofErr w:type="gramStart"/>
      <w:r>
        <w:rPr>
          <w:rFonts w:hint="eastAsia"/>
          <w:sz w:val="24"/>
          <w:szCs w:val="24"/>
        </w:rPr>
        <w:t>有氨吹脱</w:t>
      </w:r>
      <w:proofErr w:type="gramEnd"/>
      <w:r>
        <w:rPr>
          <w:rFonts w:hint="eastAsia"/>
          <w:sz w:val="24"/>
          <w:szCs w:val="24"/>
        </w:rPr>
        <w:t>、混凝沉淀、高级氧化等，</w:t>
      </w:r>
      <w:proofErr w:type="gramStart"/>
      <w:r>
        <w:rPr>
          <w:rFonts w:hint="eastAsia"/>
          <w:sz w:val="24"/>
          <w:szCs w:val="24"/>
        </w:rPr>
        <w:t>以氨吹脱</w:t>
      </w:r>
      <w:proofErr w:type="gramEnd"/>
      <w:r>
        <w:rPr>
          <w:rFonts w:hint="eastAsia"/>
          <w:sz w:val="24"/>
          <w:szCs w:val="24"/>
        </w:rPr>
        <w:t>为主。</w:t>
      </w:r>
      <w:proofErr w:type="gramStart"/>
      <w:r>
        <w:rPr>
          <w:rFonts w:hint="eastAsia"/>
          <w:sz w:val="24"/>
          <w:szCs w:val="24"/>
        </w:rPr>
        <w:t>但氨吹脱在</w:t>
      </w:r>
      <w:proofErr w:type="gramEnd"/>
      <w:r>
        <w:rPr>
          <w:rFonts w:hint="eastAsia"/>
          <w:sz w:val="24"/>
          <w:szCs w:val="24"/>
        </w:rPr>
        <w:t>工程应用中，其过程的复杂性、不稳定性和处理产物回收等问题，制约了应用。</w:t>
      </w:r>
    </w:p>
    <w:p w:rsidR="001133ED" w:rsidRDefault="001133ED" w:rsidP="001133ED">
      <w:pPr>
        <w:spacing w:line="360" w:lineRule="auto"/>
        <w:ind w:firstLineChars="200" w:firstLine="480"/>
        <w:rPr>
          <w:sz w:val="24"/>
          <w:szCs w:val="24"/>
        </w:rPr>
      </w:pPr>
      <w:r>
        <w:rPr>
          <w:rFonts w:hint="eastAsia"/>
          <w:sz w:val="24"/>
          <w:szCs w:val="24"/>
        </w:rPr>
        <w:t>3</w:t>
      </w:r>
      <w:r>
        <w:rPr>
          <w:rFonts w:hint="eastAsia"/>
          <w:sz w:val="24"/>
          <w:szCs w:val="24"/>
        </w:rPr>
        <w:t>、</w:t>
      </w:r>
      <w:r>
        <w:rPr>
          <w:rFonts w:hint="eastAsia"/>
          <w:sz w:val="24"/>
          <w:szCs w:val="24"/>
        </w:rPr>
        <w:t>21</w:t>
      </w:r>
      <w:r>
        <w:rPr>
          <w:rFonts w:hint="eastAsia"/>
          <w:sz w:val="24"/>
          <w:szCs w:val="24"/>
        </w:rPr>
        <w:t>世纪初至</w:t>
      </w:r>
      <w:r>
        <w:rPr>
          <w:rFonts w:hint="eastAsia"/>
          <w:sz w:val="24"/>
          <w:szCs w:val="24"/>
        </w:rPr>
        <w:t>2008</w:t>
      </w:r>
      <w:r>
        <w:rPr>
          <w:rFonts w:hint="eastAsia"/>
          <w:sz w:val="24"/>
          <w:szCs w:val="24"/>
        </w:rPr>
        <w:t>年，生物处理（膜生物反应器）</w:t>
      </w:r>
      <w:r>
        <w:rPr>
          <w:rFonts w:hint="eastAsia"/>
          <w:sz w:val="24"/>
          <w:szCs w:val="24"/>
        </w:rPr>
        <w:t>+</w:t>
      </w:r>
      <w:r>
        <w:rPr>
          <w:rFonts w:hint="eastAsia"/>
          <w:sz w:val="24"/>
          <w:szCs w:val="24"/>
        </w:rPr>
        <w:t>深度处理工艺。</w:t>
      </w:r>
      <w:r>
        <w:rPr>
          <w:rFonts w:hint="eastAsia"/>
          <w:sz w:val="24"/>
          <w:szCs w:val="24"/>
        </w:rPr>
        <w:t>MBR</w:t>
      </w:r>
      <w:r>
        <w:rPr>
          <w:rFonts w:hint="eastAsia"/>
          <w:sz w:val="24"/>
          <w:szCs w:val="24"/>
        </w:rPr>
        <w:t>，纳滤，</w:t>
      </w:r>
      <w:r>
        <w:rPr>
          <w:rFonts w:hint="eastAsia"/>
          <w:sz w:val="24"/>
          <w:szCs w:val="24"/>
        </w:rPr>
        <w:t>RO</w:t>
      </w:r>
      <w:r>
        <w:rPr>
          <w:rFonts w:hint="eastAsia"/>
          <w:sz w:val="24"/>
          <w:szCs w:val="24"/>
        </w:rPr>
        <w:t>，</w:t>
      </w:r>
      <w:r>
        <w:rPr>
          <w:rFonts w:hint="eastAsia"/>
          <w:sz w:val="24"/>
          <w:szCs w:val="24"/>
        </w:rPr>
        <w:t>DTRO</w:t>
      </w:r>
      <w:r>
        <w:rPr>
          <w:rFonts w:hint="eastAsia"/>
          <w:sz w:val="24"/>
          <w:szCs w:val="24"/>
        </w:rPr>
        <w:t>等处理工艺逐渐应用，特别是</w:t>
      </w:r>
      <w:r>
        <w:rPr>
          <w:rFonts w:hint="eastAsia"/>
          <w:sz w:val="24"/>
          <w:szCs w:val="24"/>
        </w:rPr>
        <w:t>MBR</w:t>
      </w:r>
      <w:r>
        <w:rPr>
          <w:rFonts w:hint="eastAsia"/>
          <w:sz w:val="24"/>
          <w:szCs w:val="24"/>
        </w:rPr>
        <w:t>工艺的引进，逐渐改变了对渗滤液脱氮技术的认识，渗滤液“生物处理”开启了高效脱氮的生物处理模式。</w:t>
      </w:r>
    </w:p>
    <w:p w:rsidR="001133ED" w:rsidRDefault="001133ED" w:rsidP="001133ED">
      <w:pPr>
        <w:spacing w:line="360" w:lineRule="auto"/>
        <w:ind w:firstLineChars="200" w:firstLine="480"/>
        <w:rPr>
          <w:sz w:val="24"/>
          <w:szCs w:val="24"/>
        </w:rPr>
      </w:pPr>
      <w:r>
        <w:rPr>
          <w:rFonts w:hint="eastAsia"/>
          <w:sz w:val="24"/>
          <w:szCs w:val="24"/>
        </w:rPr>
        <w:t>4</w:t>
      </w:r>
      <w:r>
        <w:rPr>
          <w:rFonts w:hint="eastAsia"/>
          <w:sz w:val="24"/>
          <w:szCs w:val="24"/>
        </w:rPr>
        <w:t>、</w:t>
      </w:r>
      <w:r>
        <w:rPr>
          <w:rFonts w:hint="eastAsia"/>
          <w:sz w:val="24"/>
          <w:szCs w:val="24"/>
        </w:rPr>
        <w:t>2008</w:t>
      </w:r>
      <w:r>
        <w:rPr>
          <w:rFonts w:hint="eastAsia"/>
          <w:sz w:val="24"/>
          <w:szCs w:val="24"/>
        </w:rPr>
        <w:t>年以后，采用预处理</w:t>
      </w:r>
      <w:r>
        <w:rPr>
          <w:rFonts w:hint="eastAsia"/>
          <w:sz w:val="24"/>
          <w:szCs w:val="24"/>
        </w:rPr>
        <w:t>+</w:t>
      </w:r>
      <w:r>
        <w:rPr>
          <w:rFonts w:hint="eastAsia"/>
          <w:sz w:val="24"/>
          <w:szCs w:val="24"/>
        </w:rPr>
        <w:t>生物处理</w:t>
      </w:r>
      <w:r>
        <w:rPr>
          <w:rFonts w:hint="eastAsia"/>
          <w:sz w:val="24"/>
          <w:szCs w:val="24"/>
        </w:rPr>
        <w:t>+</w:t>
      </w:r>
      <w:r>
        <w:rPr>
          <w:rFonts w:hint="eastAsia"/>
          <w:sz w:val="24"/>
          <w:szCs w:val="24"/>
        </w:rPr>
        <w:t>深度处理</w:t>
      </w:r>
      <w:r>
        <w:rPr>
          <w:rFonts w:hint="eastAsia"/>
          <w:sz w:val="24"/>
          <w:szCs w:val="24"/>
        </w:rPr>
        <w:t xml:space="preserve"> </w:t>
      </w:r>
      <w:r>
        <w:rPr>
          <w:rFonts w:hint="eastAsia"/>
          <w:sz w:val="24"/>
          <w:szCs w:val="24"/>
        </w:rPr>
        <w:t>或者</w:t>
      </w:r>
      <w:r>
        <w:rPr>
          <w:rFonts w:hint="eastAsia"/>
          <w:sz w:val="24"/>
          <w:szCs w:val="24"/>
        </w:rPr>
        <w:t xml:space="preserve"> </w:t>
      </w:r>
      <w:r>
        <w:rPr>
          <w:rFonts w:hint="eastAsia"/>
          <w:sz w:val="24"/>
          <w:szCs w:val="24"/>
        </w:rPr>
        <w:t>预处理</w:t>
      </w:r>
      <w:r>
        <w:rPr>
          <w:rFonts w:hint="eastAsia"/>
          <w:sz w:val="24"/>
          <w:szCs w:val="24"/>
        </w:rPr>
        <w:t>+</w:t>
      </w:r>
      <w:r>
        <w:rPr>
          <w:rFonts w:hint="eastAsia"/>
          <w:sz w:val="24"/>
          <w:szCs w:val="24"/>
        </w:rPr>
        <w:t>物化处理的工艺。</w:t>
      </w:r>
      <w:r>
        <w:rPr>
          <w:rFonts w:hint="eastAsia"/>
          <w:sz w:val="24"/>
          <w:szCs w:val="24"/>
        </w:rPr>
        <w:t>2008</w:t>
      </w:r>
      <w:r>
        <w:rPr>
          <w:rFonts w:hint="eastAsia"/>
          <w:sz w:val="24"/>
          <w:szCs w:val="24"/>
        </w:rPr>
        <w:t>年</w:t>
      </w:r>
      <w:r>
        <w:rPr>
          <w:rFonts w:hint="eastAsia"/>
          <w:sz w:val="24"/>
          <w:szCs w:val="24"/>
        </w:rPr>
        <w:t>7</w:t>
      </w:r>
      <w:r>
        <w:rPr>
          <w:rFonts w:hint="eastAsia"/>
          <w:sz w:val="24"/>
          <w:szCs w:val="24"/>
        </w:rPr>
        <w:t>月</w:t>
      </w:r>
      <w:r>
        <w:rPr>
          <w:rFonts w:hint="eastAsia"/>
          <w:sz w:val="24"/>
          <w:szCs w:val="24"/>
        </w:rPr>
        <w:t>1</w:t>
      </w:r>
      <w:r>
        <w:rPr>
          <w:rFonts w:hint="eastAsia"/>
          <w:sz w:val="24"/>
          <w:szCs w:val="24"/>
        </w:rPr>
        <w:t>日后，《生活垃圾填埋场污染控制标准》（</w:t>
      </w:r>
      <w:r>
        <w:rPr>
          <w:rFonts w:hint="eastAsia"/>
          <w:sz w:val="24"/>
          <w:szCs w:val="24"/>
        </w:rPr>
        <w:t>GB16889-2008</w:t>
      </w:r>
      <w:r>
        <w:rPr>
          <w:rFonts w:hint="eastAsia"/>
          <w:sz w:val="24"/>
          <w:szCs w:val="24"/>
        </w:rPr>
        <w:t>），简称</w:t>
      </w:r>
      <w:r>
        <w:rPr>
          <w:rFonts w:hint="eastAsia"/>
          <w:sz w:val="24"/>
          <w:szCs w:val="24"/>
        </w:rPr>
        <w:t>08</w:t>
      </w:r>
      <w:r>
        <w:rPr>
          <w:rFonts w:hint="eastAsia"/>
          <w:sz w:val="24"/>
          <w:szCs w:val="24"/>
        </w:rPr>
        <w:t>版正式颁布实施，排放标准更为严格。因此，这之后，“预处理</w:t>
      </w:r>
      <w:r>
        <w:rPr>
          <w:rFonts w:hint="eastAsia"/>
          <w:sz w:val="24"/>
          <w:szCs w:val="24"/>
        </w:rPr>
        <w:t>+</w:t>
      </w:r>
      <w:r>
        <w:rPr>
          <w:rFonts w:hint="eastAsia"/>
          <w:sz w:val="24"/>
          <w:szCs w:val="24"/>
        </w:rPr>
        <w:t>生物处理</w:t>
      </w:r>
      <w:r>
        <w:rPr>
          <w:rFonts w:hint="eastAsia"/>
          <w:sz w:val="24"/>
          <w:szCs w:val="24"/>
        </w:rPr>
        <w:t>+</w:t>
      </w:r>
      <w:r>
        <w:rPr>
          <w:rFonts w:hint="eastAsia"/>
          <w:sz w:val="24"/>
          <w:szCs w:val="24"/>
        </w:rPr>
        <w:t>深度处理”逐渐成为主流，预处理主要包括厌氧、混凝沉淀等，生物处理以</w:t>
      </w:r>
      <w:r>
        <w:rPr>
          <w:rFonts w:hint="eastAsia"/>
          <w:sz w:val="24"/>
          <w:szCs w:val="24"/>
        </w:rPr>
        <w:t>MBR</w:t>
      </w:r>
      <w:r>
        <w:rPr>
          <w:rFonts w:hint="eastAsia"/>
          <w:sz w:val="24"/>
          <w:szCs w:val="24"/>
        </w:rPr>
        <w:t>为主，深度处理以膜工艺（纳</w:t>
      </w:r>
      <w:r>
        <w:rPr>
          <w:rFonts w:hint="eastAsia"/>
          <w:sz w:val="24"/>
          <w:szCs w:val="24"/>
        </w:rPr>
        <w:t>--</w:t>
      </w:r>
      <w:r>
        <w:rPr>
          <w:rFonts w:hint="eastAsia"/>
          <w:sz w:val="24"/>
          <w:szCs w:val="24"/>
        </w:rPr>
        <w:t>滤，</w:t>
      </w:r>
      <w:r>
        <w:rPr>
          <w:rFonts w:hint="eastAsia"/>
          <w:sz w:val="24"/>
          <w:szCs w:val="24"/>
        </w:rPr>
        <w:t>RO</w:t>
      </w:r>
      <w:r>
        <w:rPr>
          <w:rFonts w:hint="eastAsia"/>
          <w:sz w:val="24"/>
          <w:szCs w:val="24"/>
        </w:rPr>
        <w:t>）为主，</w:t>
      </w:r>
      <w:proofErr w:type="gramStart"/>
      <w:r>
        <w:rPr>
          <w:rFonts w:hint="eastAsia"/>
          <w:sz w:val="24"/>
          <w:szCs w:val="24"/>
        </w:rPr>
        <w:t>非膜工艺</w:t>
      </w:r>
      <w:proofErr w:type="gramEnd"/>
      <w:r>
        <w:rPr>
          <w:rFonts w:hint="eastAsia"/>
          <w:sz w:val="24"/>
          <w:szCs w:val="24"/>
        </w:rPr>
        <w:t>的深度处理工艺如二级</w:t>
      </w:r>
      <w:proofErr w:type="spellStart"/>
      <w:r>
        <w:rPr>
          <w:rFonts w:hint="eastAsia"/>
          <w:sz w:val="24"/>
          <w:szCs w:val="24"/>
        </w:rPr>
        <w:t>fenton</w:t>
      </w:r>
      <w:proofErr w:type="spellEnd"/>
      <w:r>
        <w:rPr>
          <w:rFonts w:hint="eastAsia"/>
          <w:sz w:val="24"/>
          <w:szCs w:val="24"/>
        </w:rPr>
        <w:t>氧化</w:t>
      </w:r>
      <w:r>
        <w:rPr>
          <w:rFonts w:hint="eastAsia"/>
          <w:sz w:val="24"/>
          <w:szCs w:val="24"/>
        </w:rPr>
        <w:t>+</w:t>
      </w:r>
      <w:r>
        <w:rPr>
          <w:rFonts w:hint="eastAsia"/>
          <w:sz w:val="24"/>
          <w:szCs w:val="24"/>
        </w:rPr>
        <w:t>生物处理也开始应用于工程实际。</w:t>
      </w:r>
    </w:p>
    <w:p w:rsidR="001133ED" w:rsidRPr="001133ED" w:rsidRDefault="001133ED" w:rsidP="001133ED">
      <w:pPr>
        <w:spacing w:line="360" w:lineRule="auto"/>
        <w:ind w:firstLineChars="200" w:firstLine="480"/>
        <w:rPr>
          <w:rFonts w:ascii="Times New Roman" w:eastAsia="宋体" w:hAnsi="Times New Roman" w:cs="Times New Roman"/>
          <w:sz w:val="24"/>
          <w:szCs w:val="24"/>
        </w:rPr>
      </w:pPr>
      <w:r>
        <w:rPr>
          <w:rFonts w:hint="eastAsia"/>
          <w:sz w:val="24"/>
          <w:szCs w:val="24"/>
        </w:rPr>
        <w:t>本阶段，也同时存在</w:t>
      </w:r>
      <w:r>
        <w:rPr>
          <w:rFonts w:hint="eastAsia"/>
          <w:sz w:val="24"/>
          <w:szCs w:val="24"/>
        </w:rPr>
        <w:t xml:space="preserve"> </w:t>
      </w:r>
      <w:r>
        <w:rPr>
          <w:rFonts w:hint="eastAsia"/>
          <w:sz w:val="24"/>
          <w:szCs w:val="24"/>
        </w:rPr>
        <w:t>预处理</w:t>
      </w:r>
      <w:r>
        <w:rPr>
          <w:rFonts w:hint="eastAsia"/>
          <w:sz w:val="24"/>
          <w:szCs w:val="24"/>
        </w:rPr>
        <w:t>+</w:t>
      </w:r>
      <w:r>
        <w:rPr>
          <w:rFonts w:hint="eastAsia"/>
          <w:sz w:val="24"/>
          <w:szCs w:val="24"/>
        </w:rPr>
        <w:t>物化处理的工艺技术路线，如预处理</w:t>
      </w:r>
      <w:r>
        <w:rPr>
          <w:rFonts w:hint="eastAsia"/>
          <w:sz w:val="24"/>
          <w:szCs w:val="24"/>
        </w:rPr>
        <w:t>+</w:t>
      </w:r>
      <w:r>
        <w:rPr>
          <w:rFonts w:hint="eastAsia"/>
          <w:sz w:val="24"/>
          <w:szCs w:val="24"/>
        </w:rPr>
        <w:t>两级</w:t>
      </w:r>
      <w:r>
        <w:rPr>
          <w:rFonts w:hint="eastAsia"/>
          <w:sz w:val="24"/>
          <w:szCs w:val="24"/>
        </w:rPr>
        <w:t>DTRO</w:t>
      </w:r>
      <w:r>
        <w:rPr>
          <w:rFonts w:hint="eastAsia"/>
          <w:sz w:val="24"/>
          <w:szCs w:val="24"/>
        </w:rPr>
        <w:t>，预处理</w:t>
      </w:r>
      <w:r>
        <w:rPr>
          <w:rFonts w:hint="eastAsia"/>
          <w:sz w:val="24"/>
          <w:szCs w:val="24"/>
        </w:rPr>
        <w:t>+</w:t>
      </w:r>
      <w:r>
        <w:rPr>
          <w:rFonts w:hint="eastAsia"/>
          <w:sz w:val="24"/>
          <w:szCs w:val="24"/>
        </w:rPr>
        <w:t>机械蒸发（</w:t>
      </w:r>
      <w:r>
        <w:rPr>
          <w:rFonts w:hint="eastAsia"/>
          <w:sz w:val="24"/>
          <w:szCs w:val="24"/>
        </w:rPr>
        <w:t>MVC/MVR</w:t>
      </w:r>
      <w:r>
        <w:rPr>
          <w:rFonts w:hint="eastAsia"/>
          <w:sz w:val="24"/>
          <w:szCs w:val="24"/>
        </w:rPr>
        <w:t>）。但难以解决浓缩后的浓水问题。</w:t>
      </w:r>
    </w:p>
    <w:p w:rsidR="004D3B8F" w:rsidRPr="004D3B8F" w:rsidRDefault="001133ED" w:rsidP="004D3B8F">
      <w:pPr>
        <w:jc w:val="left"/>
        <w:rPr>
          <w:b/>
          <w:sz w:val="28"/>
        </w:rPr>
      </w:pPr>
      <w:r>
        <w:rPr>
          <w:rFonts w:hint="eastAsia"/>
          <w:b/>
          <w:sz w:val="28"/>
        </w:rPr>
        <w:t>三</w:t>
      </w:r>
      <w:r w:rsidR="004D3B8F">
        <w:rPr>
          <w:rFonts w:hint="eastAsia"/>
          <w:b/>
          <w:sz w:val="28"/>
        </w:rPr>
        <w:t>、</w:t>
      </w:r>
      <w:r w:rsidR="007E3282">
        <w:rPr>
          <w:rFonts w:hint="eastAsia"/>
          <w:b/>
          <w:sz w:val="28"/>
        </w:rPr>
        <w:t>相关</w:t>
      </w:r>
      <w:r w:rsidR="004D3B8F">
        <w:rPr>
          <w:rFonts w:hint="eastAsia"/>
          <w:b/>
          <w:sz w:val="28"/>
        </w:rPr>
        <w:t>设计资料</w:t>
      </w:r>
    </w:p>
    <w:p w:rsidR="004D3B8F" w:rsidRPr="004D3B8F" w:rsidRDefault="004D3B8F" w:rsidP="004D3B8F">
      <w:pPr>
        <w:spacing w:line="360" w:lineRule="auto"/>
        <w:rPr>
          <w:rFonts w:ascii="Times New Roman" w:eastAsia="宋体" w:hAnsi="Times New Roman" w:cs="Times New Roman"/>
          <w:b/>
          <w:sz w:val="24"/>
          <w:szCs w:val="24"/>
        </w:rPr>
      </w:pPr>
      <w:r w:rsidRPr="004D3B8F">
        <w:rPr>
          <w:rFonts w:ascii="Times New Roman" w:eastAsia="宋体" w:hAnsi="Times New Roman" w:cs="Times New Roman" w:hint="eastAsia"/>
          <w:b/>
          <w:sz w:val="24"/>
          <w:szCs w:val="24"/>
        </w:rPr>
        <w:t>1</w:t>
      </w:r>
      <w:r w:rsidRPr="004D3B8F">
        <w:rPr>
          <w:rFonts w:ascii="Times New Roman" w:eastAsia="宋体" w:hAnsi="Times New Roman" w:cs="Times New Roman" w:hint="eastAsia"/>
          <w:b/>
          <w:sz w:val="24"/>
          <w:szCs w:val="24"/>
        </w:rPr>
        <w:t>、</w:t>
      </w:r>
      <w:r w:rsidR="001133ED">
        <w:rPr>
          <w:rFonts w:ascii="Times New Roman" w:eastAsia="宋体" w:hAnsi="Times New Roman" w:cs="Times New Roman" w:hint="eastAsia"/>
          <w:b/>
          <w:sz w:val="24"/>
          <w:szCs w:val="24"/>
        </w:rPr>
        <w:t>存量垃圾渗滤液的水质</w:t>
      </w:r>
    </w:p>
    <w:p w:rsidR="001133ED" w:rsidRDefault="001133ED" w:rsidP="001133ED">
      <w:pPr>
        <w:spacing w:line="360" w:lineRule="auto"/>
        <w:ind w:firstLineChars="200" w:firstLine="480"/>
        <w:jc w:val="left"/>
        <w:rPr>
          <w:sz w:val="24"/>
          <w:szCs w:val="24"/>
        </w:rPr>
      </w:pPr>
      <w:r>
        <w:rPr>
          <w:rFonts w:hint="eastAsia"/>
          <w:sz w:val="24"/>
          <w:szCs w:val="24"/>
        </w:rPr>
        <w:t>见下表：</w:t>
      </w:r>
    </w:p>
    <w:p w:rsidR="001133ED" w:rsidRPr="00A04C30" w:rsidRDefault="001133ED" w:rsidP="001133ED">
      <w:pPr>
        <w:spacing w:line="360" w:lineRule="auto"/>
        <w:ind w:firstLineChars="200" w:firstLine="480"/>
        <w:jc w:val="center"/>
        <w:rPr>
          <w:rFonts w:ascii="Times New Roman" w:eastAsia="仿宋_GB2312" w:hAnsi="Times New Roman" w:cs="Times New Roman"/>
          <w:b/>
          <w:sz w:val="24"/>
          <w:szCs w:val="24"/>
        </w:rPr>
      </w:pPr>
      <w:r w:rsidRPr="00A04C30">
        <w:rPr>
          <w:rFonts w:ascii="Times New Roman" w:eastAsia="仿宋_GB2312" w:hAnsi="Times New Roman" w:cs="Times New Roman" w:hint="eastAsia"/>
          <w:sz w:val="24"/>
          <w:szCs w:val="24"/>
        </w:rPr>
        <w:t>表</w:t>
      </w:r>
      <w:r w:rsidRPr="00A04C30">
        <w:rPr>
          <w:rFonts w:ascii="Times New Roman" w:eastAsia="仿宋_GB2312" w:hAnsi="Times New Roman" w:cs="Times New Roman" w:hint="eastAsia"/>
          <w:sz w:val="24"/>
          <w:szCs w:val="24"/>
        </w:rPr>
        <w:t>1</w:t>
      </w:r>
      <w:r>
        <w:rPr>
          <w:rFonts w:ascii="Times New Roman" w:eastAsia="仿宋_GB2312" w:hAnsi="Times New Roman" w:cs="Times New Roman" w:hint="eastAsia"/>
          <w:sz w:val="24"/>
          <w:szCs w:val="24"/>
        </w:rPr>
        <w:t xml:space="preserve">  </w:t>
      </w:r>
      <w:r>
        <w:rPr>
          <w:rFonts w:ascii="Times New Roman" w:eastAsia="仿宋_GB2312" w:hAnsi="Times New Roman" w:cs="Times New Roman" w:hint="eastAsia"/>
          <w:sz w:val="24"/>
          <w:szCs w:val="24"/>
        </w:rPr>
        <w:t>渗滤液水指标</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696"/>
        <w:gridCol w:w="2498"/>
        <w:gridCol w:w="2007"/>
        <w:gridCol w:w="1358"/>
        <w:gridCol w:w="1132"/>
      </w:tblGrid>
      <w:tr w:rsidR="001133ED" w:rsidRPr="00A04C30" w:rsidTr="005B4D20">
        <w:trPr>
          <w:trHeight w:hRule="exact" w:val="454"/>
          <w:jc w:val="center"/>
        </w:trPr>
        <w:tc>
          <w:tcPr>
            <w:tcW w:w="0" w:type="auto"/>
            <w:vMerge w:val="restart"/>
            <w:vAlign w:val="center"/>
          </w:tcPr>
          <w:p w:rsidR="001133ED" w:rsidRPr="00D02EEB" w:rsidRDefault="001133ED" w:rsidP="005B4D20">
            <w:pPr>
              <w:widowControl/>
              <w:spacing w:line="200" w:lineRule="atLeast"/>
              <w:jc w:val="center"/>
              <w:rPr>
                <w:rFonts w:ascii="Times New Roman" w:eastAsia="仿宋_GB2312" w:hAnsi="Times New Roman" w:cs="Times New Roman"/>
                <w:bCs/>
                <w:kern w:val="0"/>
                <w:sz w:val="24"/>
                <w:szCs w:val="24"/>
              </w:rPr>
            </w:pPr>
            <w:r w:rsidRPr="00D02EEB">
              <w:rPr>
                <w:rFonts w:ascii="Times New Roman" w:eastAsia="仿宋_GB2312" w:hAnsi="Times New Roman" w:cs="Times New Roman"/>
                <w:bCs/>
                <w:kern w:val="0"/>
                <w:sz w:val="24"/>
                <w:szCs w:val="24"/>
              </w:rPr>
              <w:t>序号</w:t>
            </w:r>
          </w:p>
        </w:tc>
        <w:tc>
          <w:tcPr>
            <w:tcW w:w="2498" w:type="dxa"/>
            <w:vMerge w:val="restart"/>
            <w:vAlign w:val="center"/>
          </w:tcPr>
          <w:p w:rsidR="001133ED" w:rsidRPr="00D02EEB" w:rsidRDefault="001133ED" w:rsidP="005B4D20">
            <w:pPr>
              <w:widowControl/>
              <w:spacing w:line="200" w:lineRule="atLeast"/>
              <w:jc w:val="center"/>
              <w:rPr>
                <w:rFonts w:ascii="Times New Roman" w:eastAsia="仿宋_GB2312" w:hAnsi="Times New Roman" w:cs="Times New Roman"/>
                <w:bCs/>
                <w:kern w:val="0"/>
                <w:sz w:val="24"/>
                <w:szCs w:val="24"/>
              </w:rPr>
            </w:pPr>
            <w:r w:rsidRPr="00D02EEB">
              <w:rPr>
                <w:rFonts w:ascii="Times New Roman" w:eastAsia="仿宋_GB2312" w:hAnsi="Times New Roman" w:cs="Times New Roman"/>
                <w:bCs/>
                <w:kern w:val="0"/>
                <w:sz w:val="24"/>
                <w:szCs w:val="24"/>
              </w:rPr>
              <w:t>检测项目</w:t>
            </w:r>
          </w:p>
        </w:tc>
        <w:tc>
          <w:tcPr>
            <w:tcW w:w="3365" w:type="dxa"/>
            <w:gridSpan w:val="2"/>
            <w:vAlign w:val="center"/>
          </w:tcPr>
          <w:p w:rsidR="001133ED" w:rsidRPr="00D02EEB" w:rsidRDefault="001133ED" w:rsidP="005B4D20">
            <w:pPr>
              <w:widowControl/>
              <w:spacing w:line="200" w:lineRule="atLeast"/>
              <w:jc w:val="center"/>
              <w:rPr>
                <w:rFonts w:ascii="Times New Roman" w:eastAsia="仿宋_GB2312" w:hAnsi="Times New Roman" w:cs="Times New Roman"/>
                <w:bCs/>
                <w:kern w:val="0"/>
                <w:sz w:val="24"/>
                <w:szCs w:val="24"/>
              </w:rPr>
            </w:pPr>
            <w:r w:rsidRPr="00D02EEB">
              <w:rPr>
                <w:rFonts w:ascii="Times New Roman" w:eastAsia="仿宋_GB2312" w:hAnsi="Times New Roman" w:cs="Times New Roman" w:hint="eastAsia"/>
                <w:bCs/>
                <w:kern w:val="0"/>
                <w:sz w:val="24"/>
                <w:szCs w:val="24"/>
              </w:rPr>
              <w:t>检测结果</w:t>
            </w:r>
          </w:p>
        </w:tc>
        <w:tc>
          <w:tcPr>
            <w:tcW w:w="1132" w:type="dxa"/>
            <w:vMerge w:val="restart"/>
            <w:vAlign w:val="center"/>
          </w:tcPr>
          <w:p w:rsidR="001133ED" w:rsidRPr="00D02EEB" w:rsidRDefault="001133ED" w:rsidP="005B4D20">
            <w:pPr>
              <w:widowControl/>
              <w:spacing w:line="200" w:lineRule="atLeast"/>
              <w:jc w:val="center"/>
              <w:rPr>
                <w:sz w:val="24"/>
                <w:szCs w:val="24"/>
              </w:rPr>
            </w:pPr>
            <w:r w:rsidRPr="00D02EEB">
              <w:rPr>
                <w:rFonts w:ascii="Times New Roman" w:eastAsia="仿宋_GB2312" w:hAnsi="Times New Roman" w:cs="Times New Roman" w:hint="eastAsia"/>
                <w:bCs/>
                <w:kern w:val="0"/>
                <w:sz w:val="24"/>
                <w:szCs w:val="24"/>
              </w:rPr>
              <w:t>单位</w:t>
            </w:r>
          </w:p>
        </w:tc>
      </w:tr>
      <w:tr w:rsidR="001133ED" w:rsidRPr="00A04C30" w:rsidTr="005B4D20">
        <w:trPr>
          <w:trHeight w:hRule="exact" w:val="454"/>
          <w:jc w:val="center"/>
        </w:trPr>
        <w:tc>
          <w:tcPr>
            <w:tcW w:w="0" w:type="auto"/>
            <w:vMerge/>
            <w:vAlign w:val="center"/>
          </w:tcPr>
          <w:p w:rsidR="001133ED" w:rsidRPr="00D02EEB" w:rsidRDefault="001133ED" w:rsidP="005B4D20">
            <w:pPr>
              <w:rPr>
                <w:sz w:val="24"/>
                <w:szCs w:val="24"/>
              </w:rPr>
            </w:pPr>
          </w:p>
        </w:tc>
        <w:tc>
          <w:tcPr>
            <w:tcW w:w="2498" w:type="dxa"/>
            <w:vMerge/>
            <w:vAlign w:val="center"/>
          </w:tcPr>
          <w:p w:rsidR="001133ED" w:rsidRPr="00D02EEB" w:rsidRDefault="001133ED" w:rsidP="005B4D20">
            <w:pPr>
              <w:rPr>
                <w:sz w:val="24"/>
                <w:szCs w:val="24"/>
              </w:rPr>
            </w:pPr>
          </w:p>
        </w:tc>
        <w:tc>
          <w:tcPr>
            <w:tcW w:w="2007" w:type="dxa"/>
            <w:vAlign w:val="center"/>
          </w:tcPr>
          <w:p w:rsidR="001133ED" w:rsidRPr="00D02EEB" w:rsidRDefault="001133ED" w:rsidP="005B4D20">
            <w:pPr>
              <w:widowControl/>
              <w:spacing w:line="200" w:lineRule="atLeast"/>
              <w:jc w:val="center"/>
              <w:rPr>
                <w:rFonts w:ascii="Times New Roman" w:eastAsia="仿宋_GB2312" w:hAnsi="Times New Roman" w:cs="Times New Roman"/>
                <w:bCs/>
                <w:kern w:val="0"/>
                <w:sz w:val="24"/>
                <w:szCs w:val="24"/>
              </w:rPr>
            </w:pPr>
            <w:r w:rsidRPr="00D02EEB">
              <w:rPr>
                <w:rFonts w:ascii="Times New Roman" w:eastAsia="仿宋_GB2312" w:hAnsi="Times New Roman" w:cs="Times New Roman" w:hint="eastAsia"/>
                <w:bCs/>
                <w:kern w:val="0"/>
                <w:sz w:val="24"/>
                <w:szCs w:val="24"/>
              </w:rPr>
              <w:t>垃圾渗滤液原水</w:t>
            </w:r>
          </w:p>
        </w:tc>
        <w:tc>
          <w:tcPr>
            <w:tcW w:w="0" w:type="auto"/>
            <w:vAlign w:val="center"/>
          </w:tcPr>
          <w:p w:rsidR="001133ED" w:rsidRPr="00D02EEB" w:rsidRDefault="001133ED" w:rsidP="005B4D20">
            <w:pPr>
              <w:widowControl/>
              <w:spacing w:line="200" w:lineRule="atLeast"/>
              <w:jc w:val="center"/>
              <w:rPr>
                <w:rFonts w:ascii="Times New Roman" w:eastAsia="仿宋_GB2312" w:hAnsi="Times New Roman" w:cs="Times New Roman"/>
                <w:bCs/>
                <w:kern w:val="0"/>
                <w:sz w:val="24"/>
                <w:szCs w:val="24"/>
              </w:rPr>
            </w:pPr>
            <w:r w:rsidRPr="00D02EEB">
              <w:rPr>
                <w:rFonts w:ascii="Times New Roman" w:eastAsia="仿宋_GB2312" w:hAnsi="Times New Roman" w:cs="Times New Roman" w:hint="eastAsia"/>
                <w:bCs/>
                <w:kern w:val="0"/>
                <w:sz w:val="24"/>
                <w:szCs w:val="24"/>
              </w:rPr>
              <w:t>一期出水</w:t>
            </w:r>
          </w:p>
        </w:tc>
        <w:tc>
          <w:tcPr>
            <w:tcW w:w="1132" w:type="dxa"/>
            <w:vMerge/>
          </w:tcPr>
          <w:p w:rsidR="001133ED" w:rsidRPr="00A04C30" w:rsidRDefault="001133ED" w:rsidP="005B4D20">
            <w:pPr>
              <w:rPr>
                <w:sz w:val="24"/>
                <w:szCs w:val="24"/>
              </w:rPr>
            </w:pPr>
          </w:p>
        </w:tc>
      </w:tr>
      <w:tr w:rsidR="001133ED" w:rsidRPr="00A04C30" w:rsidTr="005B4D20">
        <w:trPr>
          <w:trHeight w:hRule="exact" w:val="454"/>
          <w:jc w:val="center"/>
        </w:trPr>
        <w:tc>
          <w:tcPr>
            <w:tcW w:w="0" w:type="auto"/>
            <w:vAlign w:val="center"/>
          </w:tcPr>
          <w:p w:rsidR="001133ED" w:rsidRPr="00A04C30" w:rsidRDefault="001133ED" w:rsidP="005B4D20">
            <w:pPr>
              <w:rPr>
                <w:sz w:val="24"/>
                <w:szCs w:val="24"/>
              </w:rPr>
            </w:pPr>
            <w:r w:rsidRPr="00A04C30">
              <w:rPr>
                <w:sz w:val="24"/>
                <w:szCs w:val="24"/>
              </w:rPr>
              <w:t>1</w:t>
            </w:r>
          </w:p>
        </w:tc>
        <w:tc>
          <w:tcPr>
            <w:tcW w:w="2498" w:type="dxa"/>
            <w:vAlign w:val="center"/>
          </w:tcPr>
          <w:p w:rsidR="001133ED" w:rsidRPr="00A04C30" w:rsidRDefault="001133ED" w:rsidP="005B4D20">
            <w:pPr>
              <w:rPr>
                <w:sz w:val="24"/>
                <w:szCs w:val="24"/>
              </w:rPr>
            </w:pPr>
            <w:r w:rsidRPr="00A04C30">
              <w:rPr>
                <w:sz w:val="24"/>
                <w:szCs w:val="24"/>
              </w:rPr>
              <w:t>色度</w:t>
            </w:r>
          </w:p>
        </w:tc>
        <w:tc>
          <w:tcPr>
            <w:tcW w:w="2007" w:type="dxa"/>
            <w:vAlign w:val="center"/>
          </w:tcPr>
          <w:p w:rsidR="001133ED" w:rsidRPr="00A04C30" w:rsidRDefault="001133ED" w:rsidP="005B4D20">
            <w:pPr>
              <w:jc w:val="center"/>
              <w:rPr>
                <w:sz w:val="24"/>
                <w:szCs w:val="24"/>
              </w:rPr>
            </w:pPr>
            <w:r w:rsidRPr="00A04C30">
              <w:rPr>
                <w:rFonts w:hint="eastAsia"/>
                <w:sz w:val="24"/>
                <w:szCs w:val="24"/>
              </w:rPr>
              <w:t>黑绿色</w:t>
            </w:r>
            <w:r w:rsidRPr="00A04C30">
              <w:rPr>
                <w:rFonts w:hint="eastAsia"/>
                <w:sz w:val="24"/>
                <w:szCs w:val="24"/>
              </w:rPr>
              <w:t>512</w:t>
            </w:r>
          </w:p>
        </w:tc>
        <w:tc>
          <w:tcPr>
            <w:tcW w:w="0" w:type="auto"/>
            <w:vAlign w:val="center"/>
          </w:tcPr>
          <w:p w:rsidR="001133ED" w:rsidRPr="00A04C30" w:rsidRDefault="001133ED" w:rsidP="005B4D20">
            <w:pPr>
              <w:jc w:val="center"/>
              <w:rPr>
                <w:sz w:val="24"/>
                <w:szCs w:val="24"/>
              </w:rPr>
            </w:pPr>
            <w:r w:rsidRPr="00A04C30">
              <w:rPr>
                <w:rFonts w:hint="eastAsia"/>
                <w:sz w:val="24"/>
                <w:szCs w:val="24"/>
              </w:rPr>
              <w:t>无色透明</w:t>
            </w:r>
            <w:r w:rsidRPr="00A04C30">
              <w:rPr>
                <w:rFonts w:hint="eastAsia"/>
                <w:sz w:val="24"/>
                <w:szCs w:val="24"/>
              </w:rPr>
              <w:t>2</w:t>
            </w:r>
          </w:p>
        </w:tc>
        <w:tc>
          <w:tcPr>
            <w:tcW w:w="1132" w:type="dxa"/>
          </w:tcPr>
          <w:p w:rsidR="001133ED" w:rsidRPr="00A04C30" w:rsidRDefault="001133ED" w:rsidP="005B4D20">
            <w:pPr>
              <w:jc w:val="center"/>
              <w:rPr>
                <w:sz w:val="24"/>
                <w:szCs w:val="24"/>
              </w:rPr>
            </w:pPr>
            <w:r w:rsidRPr="00A04C30">
              <w:rPr>
                <w:rFonts w:hint="eastAsia"/>
                <w:sz w:val="24"/>
                <w:szCs w:val="24"/>
              </w:rPr>
              <w:t>倍</w:t>
            </w:r>
          </w:p>
        </w:tc>
      </w:tr>
      <w:tr w:rsidR="001133ED" w:rsidRPr="00A04C30" w:rsidTr="005B4D20">
        <w:trPr>
          <w:trHeight w:hRule="exact" w:val="454"/>
          <w:jc w:val="center"/>
        </w:trPr>
        <w:tc>
          <w:tcPr>
            <w:tcW w:w="0" w:type="auto"/>
            <w:vAlign w:val="center"/>
          </w:tcPr>
          <w:p w:rsidR="001133ED" w:rsidRPr="00A04C30" w:rsidRDefault="001133ED" w:rsidP="005B4D20">
            <w:pPr>
              <w:rPr>
                <w:sz w:val="24"/>
                <w:szCs w:val="24"/>
              </w:rPr>
            </w:pPr>
            <w:r w:rsidRPr="00A04C30">
              <w:rPr>
                <w:sz w:val="24"/>
                <w:szCs w:val="24"/>
              </w:rPr>
              <w:t>2</w:t>
            </w:r>
          </w:p>
        </w:tc>
        <w:tc>
          <w:tcPr>
            <w:tcW w:w="2498" w:type="dxa"/>
            <w:vAlign w:val="center"/>
          </w:tcPr>
          <w:p w:rsidR="001133ED" w:rsidRPr="00A04C30" w:rsidRDefault="001133ED" w:rsidP="005B4D20">
            <w:pPr>
              <w:rPr>
                <w:sz w:val="24"/>
                <w:szCs w:val="24"/>
              </w:rPr>
            </w:pPr>
            <w:r w:rsidRPr="00A04C30">
              <w:rPr>
                <w:sz w:val="24"/>
                <w:szCs w:val="24"/>
              </w:rPr>
              <w:t>化学需氧量</w:t>
            </w:r>
          </w:p>
        </w:tc>
        <w:tc>
          <w:tcPr>
            <w:tcW w:w="2007" w:type="dxa"/>
            <w:vAlign w:val="center"/>
          </w:tcPr>
          <w:p w:rsidR="001133ED" w:rsidRPr="00A04C30" w:rsidRDefault="001133ED" w:rsidP="005B4D20">
            <w:pPr>
              <w:jc w:val="center"/>
              <w:rPr>
                <w:sz w:val="24"/>
                <w:szCs w:val="24"/>
              </w:rPr>
            </w:pPr>
            <w:r w:rsidRPr="00A04C30">
              <w:rPr>
                <w:rFonts w:hint="eastAsia"/>
                <w:sz w:val="24"/>
                <w:szCs w:val="24"/>
              </w:rPr>
              <w:t>6.28</w:t>
            </w:r>
            <w:r w:rsidRPr="00A04C30">
              <w:rPr>
                <w:sz w:val="24"/>
                <w:szCs w:val="24"/>
              </w:rPr>
              <w:t>×</w:t>
            </w:r>
            <w:r w:rsidRPr="00A04C30">
              <w:rPr>
                <w:rFonts w:hint="eastAsia"/>
                <w:sz w:val="24"/>
                <w:szCs w:val="24"/>
              </w:rPr>
              <w:t>10</w:t>
            </w:r>
            <w:r w:rsidRPr="00D02EEB">
              <w:rPr>
                <w:rFonts w:hint="eastAsia"/>
                <w:sz w:val="24"/>
                <w:szCs w:val="24"/>
                <w:vertAlign w:val="superscript"/>
              </w:rPr>
              <w:t>3</w:t>
            </w:r>
          </w:p>
        </w:tc>
        <w:tc>
          <w:tcPr>
            <w:tcW w:w="0" w:type="auto"/>
            <w:vAlign w:val="center"/>
          </w:tcPr>
          <w:p w:rsidR="001133ED" w:rsidRPr="00A04C30" w:rsidRDefault="001133ED" w:rsidP="005B4D20">
            <w:pPr>
              <w:jc w:val="center"/>
              <w:rPr>
                <w:sz w:val="24"/>
                <w:szCs w:val="24"/>
              </w:rPr>
            </w:pPr>
            <w:r w:rsidRPr="00A04C30">
              <w:rPr>
                <w:rFonts w:hint="eastAsia"/>
                <w:sz w:val="24"/>
                <w:szCs w:val="24"/>
              </w:rPr>
              <w:t>117</w:t>
            </w:r>
          </w:p>
        </w:tc>
        <w:tc>
          <w:tcPr>
            <w:tcW w:w="1132" w:type="dxa"/>
          </w:tcPr>
          <w:p w:rsidR="001133ED" w:rsidRPr="00A04C30" w:rsidRDefault="001133ED" w:rsidP="005B4D20">
            <w:pPr>
              <w:jc w:val="center"/>
              <w:rPr>
                <w:sz w:val="24"/>
                <w:szCs w:val="24"/>
              </w:rPr>
            </w:pPr>
            <w:r w:rsidRPr="00A04C30">
              <w:rPr>
                <w:sz w:val="24"/>
                <w:szCs w:val="24"/>
              </w:rPr>
              <w:t>mg/L</w:t>
            </w:r>
          </w:p>
        </w:tc>
      </w:tr>
      <w:tr w:rsidR="001133ED" w:rsidRPr="00A04C30" w:rsidTr="005B4D20">
        <w:trPr>
          <w:trHeight w:hRule="exact" w:val="454"/>
          <w:jc w:val="center"/>
        </w:trPr>
        <w:tc>
          <w:tcPr>
            <w:tcW w:w="0" w:type="auto"/>
            <w:vAlign w:val="center"/>
          </w:tcPr>
          <w:p w:rsidR="001133ED" w:rsidRPr="00A04C30" w:rsidRDefault="001133ED" w:rsidP="005B4D20">
            <w:pPr>
              <w:rPr>
                <w:sz w:val="24"/>
                <w:szCs w:val="24"/>
              </w:rPr>
            </w:pPr>
            <w:r w:rsidRPr="00A04C30">
              <w:rPr>
                <w:sz w:val="24"/>
                <w:szCs w:val="24"/>
              </w:rPr>
              <w:t>3</w:t>
            </w:r>
          </w:p>
        </w:tc>
        <w:tc>
          <w:tcPr>
            <w:tcW w:w="2498" w:type="dxa"/>
            <w:vAlign w:val="center"/>
          </w:tcPr>
          <w:p w:rsidR="001133ED" w:rsidRPr="00A04C30" w:rsidRDefault="001133ED" w:rsidP="005B4D20">
            <w:pPr>
              <w:rPr>
                <w:sz w:val="24"/>
                <w:szCs w:val="24"/>
              </w:rPr>
            </w:pPr>
            <w:r w:rsidRPr="00A04C30">
              <w:rPr>
                <w:sz w:val="24"/>
                <w:szCs w:val="24"/>
              </w:rPr>
              <w:t>五日生化需氧量</w:t>
            </w:r>
          </w:p>
        </w:tc>
        <w:tc>
          <w:tcPr>
            <w:tcW w:w="2007" w:type="dxa"/>
            <w:vAlign w:val="center"/>
          </w:tcPr>
          <w:p w:rsidR="001133ED" w:rsidRPr="00A04C30" w:rsidRDefault="001133ED" w:rsidP="005B4D20">
            <w:pPr>
              <w:jc w:val="center"/>
              <w:rPr>
                <w:sz w:val="24"/>
                <w:szCs w:val="24"/>
              </w:rPr>
            </w:pPr>
            <w:r w:rsidRPr="00A04C30">
              <w:rPr>
                <w:rFonts w:hint="eastAsia"/>
                <w:sz w:val="24"/>
                <w:szCs w:val="24"/>
              </w:rPr>
              <w:t>1.18</w:t>
            </w:r>
            <w:r w:rsidRPr="00A04C30">
              <w:rPr>
                <w:sz w:val="24"/>
                <w:szCs w:val="24"/>
              </w:rPr>
              <w:t>×</w:t>
            </w:r>
            <w:r w:rsidRPr="00A04C30">
              <w:rPr>
                <w:rFonts w:hint="eastAsia"/>
                <w:sz w:val="24"/>
                <w:szCs w:val="24"/>
              </w:rPr>
              <w:t>10</w:t>
            </w:r>
            <w:r w:rsidRPr="00D02EEB">
              <w:rPr>
                <w:rFonts w:hint="eastAsia"/>
                <w:sz w:val="24"/>
                <w:szCs w:val="24"/>
                <w:vertAlign w:val="superscript"/>
              </w:rPr>
              <w:t>3</w:t>
            </w:r>
          </w:p>
        </w:tc>
        <w:tc>
          <w:tcPr>
            <w:tcW w:w="0" w:type="auto"/>
            <w:vAlign w:val="center"/>
          </w:tcPr>
          <w:p w:rsidR="001133ED" w:rsidRPr="00A04C30" w:rsidRDefault="001133ED" w:rsidP="005B4D20">
            <w:pPr>
              <w:jc w:val="center"/>
              <w:rPr>
                <w:sz w:val="24"/>
                <w:szCs w:val="24"/>
              </w:rPr>
            </w:pPr>
            <w:r w:rsidRPr="00A04C30">
              <w:rPr>
                <w:rFonts w:hint="eastAsia"/>
                <w:sz w:val="24"/>
                <w:szCs w:val="24"/>
              </w:rPr>
              <w:t>0.8</w:t>
            </w:r>
          </w:p>
        </w:tc>
        <w:tc>
          <w:tcPr>
            <w:tcW w:w="1132" w:type="dxa"/>
          </w:tcPr>
          <w:p w:rsidR="001133ED" w:rsidRDefault="001133ED" w:rsidP="005B4D20">
            <w:pPr>
              <w:jc w:val="center"/>
            </w:pPr>
            <w:r w:rsidRPr="00E90EEB">
              <w:rPr>
                <w:sz w:val="24"/>
                <w:szCs w:val="24"/>
              </w:rPr>
              <w:t>mg/L</w:t>
            </w:r>
          </w:p>
        </w:tc>
      </w:tr>
      <w:tr w:rsidR="001133ED" w:rsidRPr="00A04C30" w:rsidTr="005B4D20">
        <w:trPr>
          <w:trHeight w:hRule="exact" w:val="454"/>
          <w:jc w:val="center"/>
        </w:trPr>
        <w:tc>
          <w:tcPr>
            <w:tcW w:w="0" w:type="auto"/>
            <w:vAlign w:val="center"/>
          </w:tcPr>
          <w:p w:rsidR="001133ED" w:rsidRPr="00A04C30" w:rsidRDefault="001133ED" w:rsidP="005B4D20">
            <w:pPr>
              <w:rPr>
                <w:sz w:val="24"/>
                <w:szCs w:val="24"/>
              </w:rPr>
            </w:pPr>
            <w:r w:rsidRPr="00A04C30">
              <w:rPr>
                <w:sz w:val="24"/>
                <w:szCs w:val="24"/>
              </w:rPr>
              <w:t>4</w:t>
            </w:r>
          </w:p>
        </w:tc>
        <w:tc>
          <w:tcPr>
            <w:tcW w:w="2498" w:type="dxa"/>
            <w:vAlign w:val="center"/>
          </w:tcPr>
          <w:p w:rsidR="001133ED" w:rsidRPr="00A04C30" w:rsidRDefault="001133ED" w:rsidP="005B4D20">
            <w:pPr>
              <w:rPr>
                <w:sz w:val="24"/>
                <w:szCs w:val="24"/>
              </w:rPr>
            </w:pPr>
            <w:r w:rsidRPr="00A04C30">
              <w:rPr>
                <w:sz w:val="24"/>
                <w:szCs w:val="24"/>
              </w:rPr>
              <w:t>悬浮物</w:t>
            </w:r>
          </w:p>
        </w:tc>
        <w:tc>
          <w:tcPr>
            <w:tcW w:w="2007" w:type="dxa"/>
            <w:vAlign w:val="center"/>
          </w:tcPr>
          <w:p w:rsidR="001133ED" w:rsidRPr="00A04C30" w:rsidRDefault="001133ED" w:rsidP="005B4D20">
            <w:pPr>
              <w:jc w:val="center"/>
              <w:rPr>
                <w:sz w:val="24"/>
                <w:szCs w:val="24"/>
              </w:rPr>
            </w:pPr>
            <w:r w:rsidRPr="00A04C30">
              <w:rPr>
                <w:rFonts w:hint="eastAsia"/>
                <w:sz w:val="24"/>
                <w:szCs w:val="24"/>
              </w:rPr>
              <w:t>1605</w:t>
            </w:r>
          </w:p>
        </w:tc>
        <w:tc>
          <w:tcPr>
            <w:tcW w:w="0" w:type="auto"/>
            <w:vAlign w:val="center"/>
          </w:tcPr>
          <w:p w:rsidR="001133ED" w:rsidRPr="00A04C30" w:rsidRDefault="001133ED" w:rsidP="005B4D20">
            <w:pPr>
              <w:jc w:val="center"/>
              <w:rPr>
                <w:sz w:val="24"/>
                <w:szCs w:val="24"/>
              </w:rPr>
            </w:pPr>
            <w:r w:rsidRPr="00A04C30">
              <w:rPr>
                <w:rFonts w:hint="eastAsia"/>
                <w:sz w:val="24"/>
                <w:szCs w:val="24"/>
              </w:rPr>
              <w:t>2</w:t>
            </w:r>
          </w:p>
        </w:tc>
        <w:tc>
          <w:tcPr>
            <w:tcW w:w="1132" w:type="dxa"/>
          </w:tcPr>
          <w:p w:rsidR="001133ED" w:rsidRDefault="001133ED" w:rsidP="005B4D20">
            <w:pPr>
              <w:jc w:val="center"/>
            </w:pPr>
            <w:r w:rsidRPr="00E90EEB">
              <w:rPr>
                <w:sz w:val="24"/>
                <w:szCs w:val="24"/>
              </w:rPr>
              <w:t>mg/L</w:t>
            </w:r>
          </w:p>
        </w:tc>
      </w:tr>
      <w:tr w:rsidR="001133ED" w:rsidRPr="00A04C30" w:rsidTr="005B4D20">
        <w:trPr>
          <w:trHeight w:hRule="exact" w:val="454"/>
          <w:jc w:val="center"/>
        </w:trPr>
        <w:tc>
          <w:tcPr>
            <w:tcW w:w="0" w:type="auto"/>
            <w:vAlign w:val="center"/>
          </w:tcPr>
          <w:p w:rsidR="001133ED" w:rsidRPr="00A04C30" w:rsidRDefault="001133ED" w:rsidP="005B4D20">
            <w:pPr>
              <w:rPr>
                <w:sz w:val="24"/>
                <w:szCs w:val="24"/>
              </w:rPr>
            </w:pPr>
            <w:r w:rsidRPr="00A04C30">
              <w:rPr>
                <w:sz w:val="24"/>
                <w:szCs w:val="24"/>
              </w:rPr>
              <w:t>5</w:t>
            </w:r>
          </w:p>
        </w:tc>
        <w:tc>
          <w:tcPr>
            <w:tcW w:w="2498" w:type="dxa"/>
            <w:vAlign w:val="center"/>
          </w:tcPr>
          <w:p w:rsidR="001133ED" w:rsidRPr="00A04C30" w:rsidRDefault="001133ED" w:rsidP="005B4D20">
            <w:pPr>
              <w:rPr>
                <w:sz w:val="24"/>
                <w:szCs w:val="24"/>
              </w:rPr>
            </w:pPr>
            <w:r w:rsidRPr="00A04C30">
              <w:rPr>
                <w:sz w:val="24"/>
                <w:szCs w:val="24"/>
              </w:rPr>
              <w:t>氨氮</w:t>
            </w:r>
          </w:p>
        </w:tc>
        <w:tc>
          <w:tcPr>
            <w:tcW w:w="2007" w:type="dxa"/>
            <w:vAlign w:val="center"/>
          </w:tcPr>
          <w:p w:rsidR="001133ED" w:rsidRPr="00A04C30" w:rsidRDefault="001133ED" w:rsidP="005B4D20">
            <w:pPr>
              <w:jc w:val="center"/>
              <w:rPr>
                <w:sz w:val="24"/>
                <w:szCs w:val="24"/>
              </w:rPr>
            </w:pPr>
            <w:r w:rsidRPr="00A04C30">
              <w:rPr>
                <w:rFonts w:hint="eastAsia"/>
                <w:sz w:val="24"/>
                <w:szCs w:val="24"/>
              </w:rPr>
              <w:t>1.54</w:t>
            </w:r>
            <w:r w:rsidRPr="00A04C30">
              <w:rPr>
                <w:sz w:val="24"/>
                <w:szCs w:val="24"/>
              </w:rPr>
              <w:t>×</w:t>
            </w:r>
            <w:r w:rsidRPr="00A04C30">
              <w:rPr>
                <w:rFonts w:hint="eastAsia"/>
                <w:sz w:val="24"/>
                <w:szCs w:val="24"/>
              </w:rPr>
              <w:t>10</w:t>
            </w:r>
            <w:r w:rsidRPr="00D02EEB">
              <w:rPr>
                <w:rFonts w:hint="eastAsia"/>
                <w:sz w:val="24"/>
                <w:szCs w:val="24"/>
                <w:vertAlign w:val="superscript"/>
              </w:rPr>
              <w:t>3</w:t>
            </w:r>
          </w:p>
        </w:tc>
        <w:tc>
          <w:tcPr>
            <w:tcW w:w="0" w:type="auto"/>
            <w:vAlign w:val="center"/>
          </w:tcPr>
          <w:p w:rsidR="001133ED" w:rsidRPr="00A04C30" w:rsidRDefault="001133ED" w:rsidP="005B4D20">
            <w:pPr>
              <w:jc w:val="center"/>
              <w:rPr>
                <w:sz w:val="24"/>
                <w:szCs w:val="24"/>
              </w:rPr>
            </w:pPr>
            <w:r w:rsidRPr="00A04C30">
              <w:rPr>
                <w:rFonts w:hint="eastAsia"/>
                <w:sz w:val="24"/>
                <w:szCs w:val="24"/>
              </w:rPr>
              <w:t>0.086</w:t>
            </w:r>
          </w:p>
        </w:tc>
        <w:tc>
          <w:tcPr>
            <w:tcW w:w="1132" w:type="dxa"/>
          </w:tcPr>
          <w:p w:rsidR="001133ED" w:rsidRDefault="001133ED" w:rsidP="005B4D20">
            <w:pPr>
              <w:jc w:val="center"/>
            </w:pPr>
            <w:r w:rsidRPr="00E90EEB">
              <w:rPr>
                <w:sz w:val="24"/>
                <w:szCs w:val="24"/>
              </w:rPr>
              <w:t>mg/L</w:t>
            </w:r>
          </w:p>
        </w:tc>
      </w:tr>
      <w:tr w:rsidR="001133ED" w:rsidRPr="00A04C30" w:rsidTr="005B4D20">
        <w:trPr>
          <w:trHeight w:hRule="exact" w:val="454"/>
          <w:jc w:val="center"/>
        </w:trPr>
        <w:tc>
          <w:tcPr>
            <w:tcW w:w="0" w:type="auto"/>
            <w:vAlign w:val="center"/>
          </w:tcPr>
          <w:p w:rsidR="001133ED" w:rsidRPr="00A04C30" w:rsidRDefault="001133ED" w:rsidP="005B4D20">
            <w:pPr>
              <w:rPr>
                <w:sz w:val="24"/>
                <w:szCs w:val="24"/>
              </w:rPr>
            </w:pPr>
            <w:r w:rsidRPr="00A04C30">
              <w:rPr>
                <w:sz w:val="24"/>
                <w:szCs w:val="24"/>
              </w:rPr>
              <w:t>6</w:t>
            </w:r>
          </w:p>
        </w:tc>
        <w:tc>
          <w:tcPr>
            <w:tcW w:w="2498" w:type="dxa"/>
            <w:vAlign w:val="center"/>
          </w:tcPr>
          <w:p w:rsidR="001133ED" w:rsidRPr="00A04C30" w:rsidRDefault="001133ED" w:rsidP="005B4D20">
            <w:pPr>
              <w:rPr>
                <w:sz w:val="24"/>
                <w:szCs w:val="24"/>
              </w:rPr>
            </w:pPr>
            <w:r w:rsidRPr="00A04C30">
              <w:rPr>
                <w:sz w:val="24"/>
                <w:szCs w:val="24"/>
              </w:rPr>
              <w:t>总磷</w:t>
            </w:r>
          </w:p>
        </w:tc>
        <w:tc>
          <w:tcPr>
            <w:tcW w:w="2007" w:type="dxa"/>
            <w:vAlign w:val="center"/>
          </w:tcPr>
          <w:p w:rsidR="001133ED" w:rsidRPr="00A04C30" w:rsidRDefault="001133ED" w:rsidP="005B4D20">
            <w:pPr>
              <w:jc w:val="center"/>
              <w:rPr>
                <w:sz w:val="24"/>
                <w:szCs w:val="24"/>
              </w:rPr>
            </w:pPr>
            <w:r w:rsidRPr="00A04C30">
              <w:rPr>
                <w:rFonts w:hint="eastAsia"/>
                <w:sz w:val="24"/>
                <w:szCs w:val="24"/>
              </w:rPr>
              <w:t>14.5</w:t>
            </w:r>
          </w:p>
        </w:tc>
        <w:tc>
          <w:tcPr>
            <w:tcW w:w="0" w:type="auto"/>
            <w:vAlign w:val="center"/>
          </w:tcPr>
          <w:p w:rsidR="001133ED" w:rsidRPr="00A04C30" w:rsidRDefault="001133ED" w:rsidP="005B4D20">
            <w:pPr>
              <w:jc w:val="center"/>
              <w:rPr>
                <w:sz w:val="24"/>
                <w:szCs w:val="24"/>
              </w:rPr>
            </w:pPr>
            <w:r w:rsidRPr="00A04C30">
              <w:rPr>
                <w:rFonts w:hint="eastAsia"/>
                <w:sz w:val="24"/>
                <w:szCs w:val="24"/>
              </w:rPr>
              <w:t>0.28</w:t>
            </w:r>
          </w:p>
        </w:tc>
        <w:tc>
          <w:tcPr>
            <w:tcW w:w="1132" w:type="dxa"/>
          </w:tcPr>
          <w:p w:rsidR="001133ED" w:rsidRDefault="001133ED" w:rsidP="005B4D20">
            <w:pPr>
              <w:jc w:val="center"/>
            </w:pPr>
            <w:r w:rsidRPr="00E90EEB">
              <w:rPr>
                <w:sz w:val="24"/>
                <w:szCs w:val="24"/>
              </w:rPr>
              <w:t>mg/L</w:t>
            </w:r>
          </w:p>
        </w:tc>
      </w:tr>
      <w:tr w:rsidR="001133ED" w:rsidRPr="00A04C30" w:rsidTr="005B4D20">
        <w:trPr>
          <w:trHeight w:hRule="exact" w:val="454"/>
          <w:jc w:val="center"/>
        </w:trPr>
        <w:tc>
          <w:tcPr>
            <w:tcW w:w="0" w:type="auto"/>
            <w:vAlign w:val="center"/>
          </w:tcPr>
          <w:p w:rsidR="001133ED" w:rsidRPr="00A04C30" w:rsidRDefault="001133ED" w:rsidP="005B4D20">
            <w:pPr>
              <w:rPr>
                <w:sz w:val="24"/>
                <w:szCs w:val="24"/>
              </w:rPr>
            </w:pPr>
            <w:r w:rsidRPr="00A04C30">
              <w:rPr>
                <w:sz w:val="24"/>
                <w:szCs w:val="24"/>
              </w:rPr>
              <w:t>7</w:t>
            </w:r>
          </w:p>
        </w:tc>
        <w:tc>
          <w:tcPr>
            <w:tcW w:w="2498" w:type="dxa"/>
            <w:vAlign w:val="center"/>
          </w:tcPr>
          <w:p w:rsidR="001133ED" w:rsidRPr="00A04C30" w:rsidRDefault="001133ED" w:rsidP="005B4D20">
            <w:pPr>
              <w:rPr>
                <w:sz w:val="24"/>
                <w:szCs w:val="24"/>
              </w:rPr>
            </w:pPr>
            <w:r w:rsidRPr="00A04C30">
              <w:rPr>
                <w:sz w:val="24"/>
                <w:szCs w:val="24"/>
              </w:rPr>
              <w:t>总氮</w:t>
            </w:r>
          </w:p>
        </w:tc>
        <w:tc>
          <w:tcPr>
            <w:tcW w:w="2007" w:type="dxa"/>
            <w:vAlign w:val="center"/>
          </w:tcPr>
          <w:p w:rsidR="001133ED" w:rsidRPr="00A04C30" w:rsidRDefault="001133ED" w:rsidP="005B4D20">
            <w:pPr>
              <w:jc w:val="center"/>
              <w:rPr>
                <w:sz w:val="24"/>
                <w:szCs w:val="24"/>
              </w:rPr>
            </w:pPr>
            <w:r w:rsidRPr="00A04C30">
              <w:rPr>
                <w:rFonts w:hint="eastAsia"/>
                <w:sz w:val="24"/>
                <w:szCs w:val="24"/>
              </w:rPr>
              <w:t>1.66</w:t>
            </w:r>
            <w:r w:rsidRPr="00A04C30">
              <w:rPr>
                <w:sz w:val="24"/>
                <w:szCs w:val="24"/>
              </w:rPr>
              <w:t>×</w:t>
            </w:r>
            <w:r w:rsidRPr="00A04C30">
              <w:rPr>
                <w:rFonts w:hint="eastAsia"/>
                <w:sz w:val="24"/>
                <w:szCs w:val="24"/>
              </w:rPr>
              <w:t>10</w:t>
            </w:r>
            <w:r w:rsidRPr="00D02EEB">
              <w:rPr>
                <w:rFonts w:hint="eastAsia"/>
                <w:sz w:val="24"/>
                <w:szCs w:val="24"/>
                <w:vertAlign w:val="superscript"/>
              </w:rPr>
              <w:t>3</w:t>
            </w:r>
          </w:p>
        </w:tc>
        <w:tc>
          <w:tcPr>
            <w:tcW w:w="0" w:type="auto"/>
            <w:vAlign w:val="center"/>
          </w:tcPr>
          <w:p w:rsidR="001133ED" w:rsidRPr="00A04C30" w:rsidRDefault="001133ED" w:rsidP="005B4D20">
            <w:pPr>
              <w:jc w:val="center"/>
              <w:rPr>
                <w:sz w:val="24"/>
                <w:szCs w:val="24"/>
              </w:rPr>
            </w:pPr>
            <w:r w:rsidRPr="00A04C30">
              <w:rPr>
                <w:rFonts w:hint="eastAsia"/>
                <w:sz w:val="24"/>
                <w:szCs w:val="24"/>
              </w:rPr>
              <w:t>115</w:t>
            </w:r>
          </w:p>
        </w:tc>
        <w:tc>
          <w:tcPr>
            <w:tcW w:w="1132" w:type="dxa"/>
          </w:tcPr>
          <w:p w:rsidR="001133ED" w:rsidRDefault="001133ED" w:rsidP="005B4D20">
            <w:pPr>
              <w:jc w:val="center"/>
            </w:pPr>
            <w:r w:rsidRPr="00E90EEB">
              <w:rPr>
                <w:sz w:val="24"/>
                <w:szCs w:val="24"/>
              </w:rPr>
              <w:t>mg/L</w:t>
            </w:r>
          </w:p>
        </w:tc>
      </w:tr>
      <w:tr w:rsidR="001133ED" w:rsidRPr="00A04C30" w:rsidTr="005B4D20">
        <w:trPr>
          <w:trHeight w:hRule="exact" w:val="454"/>
          <w:jc w:val="center"/>
        </w:trPr>
        <w:tc>
          <w:tcPr>
            <w:tcW w:w="0" w:type="auto"/>
            <w:vAlign w:val="center"/>
          </w:tcPr>
          <w:p w:rsidR="001133ED" w:rsidRPr="00A04C30" w:rsidRDefault="001133ED" w:rsidP="005B4D20">
            <w:pPr>
              <w:rPr>
                <w:sz w:val="24"/>
                <w:szCs w:val="24"/>
              </w:rPr>
            </w:pPr>
            <w:r w:rsidRPr="00A04C30">
              <w:rPr>
                <w:rFonts w:hint="eastAsia"/>
                <w:sz w:val="24"/>
                <w:szCs w:val="24"/>
              </w:rPr>
              <w:t>8</w:t>
            </w:r>
          </w:p>
        </w:tc>
        <w:tc>
          <w:tcPr>
            <w:tcW w:w="2498" w:type="dxa"/>
            <w:vAlign w:val="center"/>
          </w:tcPr>
          <w:p w:rsidR="001133ED" w:rsidRPr="00A04C30" w:rsidRDefault="001133ED" w:rsidP="005B4D20">
            <w:pPr>
              <w:rPr>
                <w:sz w:val="24"/>
                <w:szCs w:val="24"/>
              </w:rPr>
            </w:pPr>
            <w:r w:rsidRPr="00A04C30">
              <w:rPr>
                <w:sz w:val="24"/>
                <w:szCs w:val="24"/>
              </w:rPr>
              <w:t>粪大肠菌群数</w:t>
            </w:r>
          </w:p>
        </w:tc>
        <w:tc>
          <w:tcPr>
            <w:tcW w:w="2007" w:type="dxa"/>
            <w:vAlign w:val="center"/>
          </w:tcPr>
          <w:p w:rsidR="001133ED" w:rsidRPr="00A04C30" w:rsidRDefault="001133ED" w:rsidP="005B4D20">
            <w:pPr>
              <w:jc w:val="center"/>
              <w:rPr>
                <w:sz w:val="24"/>
                <w:szCs w:val="24"/>
              </w:rPr>
            </w:pPr>
            <w:r w:rsidRPr="00A04C30">
              <w:rPr>
                <w:rFonts w:hint="eastAsia"/>
                <w:sz w:val="24"/>
                <w:szCs w:val="24"/>
              </w:rPr>
              <w:t>7.0</w:t>
            </w:r>
            <w:r w:rsidRPr="00A04C30">
              <w:rPr>
                <w:sz w:val="24"/>
                <w:szCs w:val="24"/>
              </w:rPr>
              <w:t>×</w:t>
            </w:r>
            <w:r w:rsidRPr="00A04C30">
              <w:rPr>
                <w:rFonts w:hint="eastAsia"/>
                <w:sz w:val="24"/>
                <w:szCs w:val="24"/>
              </w:rPr>
              <w:t>10</w:t>
            </w:r>
            <w:r w:rsidRPr="00D02EEB">
              <w:rPr>
                <w:rFonts w:hint="eastAsia"/>
                <w:sz w:val="24"/>
                <w:szCs w:val="24"/>
                <w:vertAlign w:val="superscript"/>
              </w:rPr>
              <w:t>4</w:t>
            </w:r>
          </w:p>
        </w:tc>
        <w:tc>
          <w:tcPr>
            <w:tcW w:w="0" w:type="auto"/>
            <w:vAlign w:val="center"/>
          </w:tcPr>
          <w:p w:rsidR="001133ED" w:rsidRPr="00A04C30" w:rsidRDefault="001133ED" w:rsidP="005B4D20">
            <w:pPr>
              <w:jc w:val="center"/>
              <w:rPr>
                <w:sz w:val="24"/>
                <w:szCs w:val="24"/>
              </w:rPr>
            </w:pPr>
            <w:r w:rsidRPr="00A04C30">
              <w:rPr>
                <w:rFonts w:hint="eastAsia"/>
                <w:sz w:val="24"/>
                <w:szCs w:val="24"/>
              </w:rPr>
              <w:t>100</w:t>
            </w:r>
          </w:p>
        </w:tc>
        <w:tc>
          <w:tcPr>
            <w:tcW w:w="1132" w:type="dxa"/>
          </w:tcPr>
          <w:p w:rsidR="001133ED" w:rsidRPr="00A04C30" w:rsidRDefault="001133ED" w:rsidP="005B4D20">
            <w:pPr>
              <w:jc w:val="center"/>
              <w:rPr>
                <w:sz w:val="24"/>
                <w:szCs w:val="24"/>
              </w:rPr>
            </w:pPr>
            <w:proofErr w:type="gramStart"/>
            <w:r w:rsidRPr="00A04C30">
              <w:rPr>
                <w:rFonts w:hint="eastAsia"/>
                <w:sz w:val="24"/>
                <w:szCs w:val="24"/>
              </w:rPr>
              <w:t>个</w:t>
            </w:r>
            <w:proofErr w:type="gramEnd"/>
            <w:r w:rsidRPr="00A04C30">
              <w:rPr>
                <w:sz w:val="24"/>
                <w:szCs w:val="24"/>
              </w:rPr>
              <w:t>/L</w:t>
            </w:r>
          </w:p>
        </w:tc>
      </w:tr>
      <w:tr w:rsidR="001133ED" w:rsidRPr="00A04C30" w:rsidTr="005B4D20">
        <w:trPr>
          <w:trHeight w:hRule="exact" w:val="454"/>
          <w:jc w:val="center"/>
        </w:trPr>
        <w:tc>
          <w:tcPr>
            <w:tcW w:w="0" w:type="auto"/>
            <w:vAlign w:val="center"/>
          </w:tcPr>
          <w:p w:rsidR="001133ED" w:rsidRPr="00A04C30" w:rsidRDefault="001133ED" w:rsidP="005B4D20">
            <w:pPr>
              <w:rPr>
                <w:sz w:val="24"/>
                <w:szCs w:val="24"/>
              </w:rPr>
            </w:pPr>
            <w:r w:rsidRPr="00A04C30">
              <w:rPr>
                <w:rFonts w:hint="eastAsia"/>
                <w:sz w:val="24"/>
                <w:szCs w:val="24"/>
              </w:rPr>
              <w:t>9</w:t>
            </w:r>
          </w:p>
        </w:tc>
        <w:tc>
          <w:tcPr>
            <w:tcW w:w="2498" w:type="dxa"/>
            <w:vAlign w:val="center"/>
          </w:tcPr>
          <w:p w:rsidR="001133ED" w:rsidRPr="00A04C30" w:rsidRDefault="001133ED" w:rsidP="005B4D20">
            <w:pPr>
              <w:rPr>
                <w:sz w:val="24"/>
                <w:szCs w:val="24"/>
              </w:rPr>
            </w:pPr>
            <w:r w:rsidRPr="00A04C30">
              <w:rPr>
                <w:rFonts w:hint="eastAsia"/>
                <w:sz w:val="24"/>
                <w:szCs w:val="24"/>
              </w:rPr>
              <w:t>总汞</w:t>
            </w:r>
          </w:p>
        </w:tc>
        <w:tc>
          <w:tcPr>
            <w:tcW w:w="2007" w:type="dxa"/>
            <w:vAlign w:val="center"/>
          </w:tcPr>
          <w:p w:rsidR="001133ED" w:rsidRPr="00A04C30" w:rsidRDefault="001133ED" w:rsidP="005B4D20">
            <w:pPr>
              <w:jc w:val="center"/>
              <w:rPr>
                <w:sz w:val="24"/>
                <w:szCs w:val="24"/>
              </w:rPr>
            </w:pPr>
            <w:r w:rsidRPr="00A04C30">
              <w:rPr>
                <w:rFonts w:hint="eastAsia"/>
                <w:sz w:val="24"/>
                <w:szCs w:val="24"/>
              </w:rPr>
              <w:t>0.90</w:t>
            </w:r>
          </w:p>
        </w:tc>
        <w:tc>
          <w:tcPr>
            <w:tcW w:w="0" w:type="auto"/>
            <w:vAlign w:val="center"/>
          </w:tcPr>
          <w:p w:rsidR="001133ED" w:rsidRPr="00A04C30" w:rsidRDefault="001133ED" w:rsidP="005B4D20">
            <w:pPr>
              <w:jc w:val="center"/>
              <w:rPr>
                <w:sz w:val="24"/>
                <w:szCs w:val="24"/>
              </w:rPr>
            </w:pPr>
            <w:r w:rsidRPr="00A04C30">
              <w:rPr>
                <w:rFonts w:hint="eastAsia"/>
                <w:sz w:val="24"/>
                <w:szCs w:val="24"/>
              </w:rPr>
              <w:t>0.67</w:t>
            </w:r>
          </w:p>
        </w:tc>
        <w:tc>
          <w:tcPr>
            <w:tcW w:w="1132" w:type="dxa"/>
          </w:tcPr>
          <w:p w:rsidR="001133ED" w:rsidRPr="00A04C30" w:rsidRDefault="001133ED" w:rsidP="005B4D20">
            <w:pPr>
              <w:jc w:val="center"/>
              <w:rPr>
                <w:sz w:val="24"/>
                <w:szCs w:val="24"/>
              </w:rPr>
            </w:pPr>
            <w:proofErr w:type="spellStart"/>
            <w:r w:rsidRPr="00A04C30">
              <w:rPr>
                <w:sz w:val="24"/>
                <w:szCs w:val="24"/>
              </w:rPr>
              <w:t>μg</w:t>
            </w:r>
            <w:proofErr w:type="spellEnd"/>
            <w:r w:rsidRPr="00A04C30">
              <w:rPr>
                <w:sz w:val="24"/>
                <w:szCs w:val="24"/>
              </w:rPr>
              <w:t>/L</w:t>
            </w:r>
          </w:p>
        </w:tc>
      </w:tr>
      <w:tr w:rsidR="001133ED" w:rsidRPr="00A04C30" w:rsidTr="005B4D20">
        <w:trPr>
          <w:trHeight w:hRule="exact" w:val="454"/>
          <w:jc w:val="center"/>
        </w:trPr>
        <w:tc>
          <w:tcPr>
            <w:tcW w:w="0" w:type="auto"/>
            <w:vAlign w:val="center"/>
          </w:tcPr>
          <w:p w:rsidR="001133ED" w:rsidRPr="00A04C30" w:rsidRDefault="001133ED" w:rsidP="005B4D20">
            <w:pPr>
              <w:rPr>
                <w:sz w:val="24"/>
                <w:szCs w:val="24"/>
              </w:rPr>
            </w:pPr>
            <w:r w:rsidRPr="00A04C30">
              <w:rPr>
                <w:rFonts w:hint="eastAsia"/>
                <w:sz w:val="24"/>
                <w:szCs w:val="24"/>
              </w:rPr>
              <w:lastRenderedPageBreak/>
              <w:t>10</w:t>
            </w:r>
          </w:p>
        </w:tc>
        <w:tc>
          <w:tcPr>
            <w:tcW w:w="2498" w:type="dxa"/>
            <w:vAlign w:val="center"/>
          </w:tcPr>
          <w:p w:rsidR="001133ED" w:rsidRPr="00A04C30" w:rsidRDefault="001133ED" w:rsidP="005B4D20">
            <w:pPr>
              <w:rPr>
                <w:sz w:val="24"/>
                <w:szCs w:val="24"/>
              </w:rPr>
            </w:pPr>
            <w:r w:rsidRPr="00A04C30">
              <w:rPr>
                <w:rFonts w:hint="eastAsia"/>
                <w:sz w:val="24"/>
                <w:szCs w:val="24"/>
              </w:rPr>
              <w:t>总镉</w:t>
            </w:r>
          </w:p>
        </w:tc>
        <w:tc>
          <w:tcPr>
            <w:tcW w:w="2007" w:type="dxa"/>
            <w:vAlign w:val="center"/>
          </w:tcPr>
          <w:p w:rsidR="001133ED" w:rsidRPr="00A04C30" w:rsidRDefault="001133ED" w:rsidP="005B4D20">
            <w:pPr>
              <w:jc w:val="center"/>
              <w:rPr>
                <w:sz w:val="24"/>
                <w:szCs w:val="24"/>
              </w:rPr>
            </w:pPr>
            <w:r w:rsidRPr="00A04C30">
              <w:rPr>
                <w:rFonts w:hint="eastAsia"/>
                <w:sz w:val="24"/>
                <w:szCs w:val="24"/>
              </w:rPr>
              <w:t>0.002</w:t>
            </w:r>
          </w:p>
        </w:tc>
        <w:tc>
          <w:tcPr>
            <w:tcW w:w="0" w:type="auto"/>
            <w:vAlign w:val="center"/>
          </w:tcPr>
          <w:p w:rsidR="001133ED" w:rsidRPr="00A04C30" w:rsidRDefault="001133ED" w:rsidP="005B4D20">
            <w:pPr>
              <w:jc w:val="center"/>
              <w:rPr>
                <w:sz w:val="24"/>
                <w:szCs w:val="24"/>
              </w:rPr>
            </w:pPr>
            <w:r w:rsidRPr="00A04C30">
              <w:rPr>
                <w:rFonts w:hint="eastAsia"/>
                <w:sz w:val="24"/>
                <w:szCs w:val="24"/>
              </w:rPr>
              <w:t>0.001</w:t>
            </w:r>
          </w:p>
        </w:tc>
        <w:tc>
          <w:tcPr>
            <w:tcW w:w="1132" w:type="dxa"/>
          </w:tcPr>
          <w:p w:rsidR="001133ED" w:rsidRPr="00A04C30" w:rsidRDefault="001133ED" w:rsidP="005B4D20">
            <w:pPr>
              <w:jc w:val="center"/>
              <w:rPr>
                <w:sz w:val="24"/>
                <w:szCs w:val="24"/>
              </w:rPr>
            </w:pPr>
            <w:r w:rsidRPr="00A04C30">
              <w:rPr>
                <w:sz w:val="24"/>
                <w:szCs w:val="24"/>
              </w:rPr>
              <w:t>mg/L</w:t>
            </w:r>
          </w:p>
        </w:tc>
      </w:tr>
      <w:tr w:rsidR="001133ED" w:rsidRPr="00A04C30" w:rsidTr="005B4D20">
        <w:trPr>
          <w:trHeight w:hRule="exact" w:val="454"/>
          <w:jc w:val="center"/>
        </w:trPr>
        <w:tc>
          <w:tcPr>
            <w:tcW w:w="0" w:type="auto"/>
            <w:vAlign w:val="center"/>
          </w:tcPr>
          <w:p w:rsidR="001133ED" w:rsidRPr="00A04C30" w:rsidRDefault="001133ED" w:rsidP="005B4D20">
            <w:pPr>
              <w:rPr>
                <w:sz w:val="24"/>
                <w:szCs w:val="24"/>
              </w:rPr>
            </w:pPr>
            <w:r w:rsidRPr="00A04C30">
              <w:rPr>
                <w:rFonts w:hint="eastAsia"/>
                <w:sz w:val="24"/>
                <w:szCs w:val="24"/>
              </w:rPr>
              <w:t>11</w:t>
            </w:r>
          </w:p>
        </w:tc>
        <w:tc>
          <w:tcPr>
            <w:tcW w:w="2498" w:type="dxa"/>
            <w:vAlign w:val="center"/>
          </w:tcPr>
          <w:p w:rsidR="001133ED" w:rsidRPr="00A04C30" w:rsidRDefault="001133ED" w:rsidP="005B4D20">
            <w:pPr>
              <w:rPr>
                <w:sz w:val="24"/>
                <w:szCs w:val="24"/>
              </w:rPr>
            </w:pPr>
            <w:proofErr w:type="gramStart"/>
            <w:r w:rsidRPr="00A04C30">
              <w:rPr>
                <w:rFonts w:hint="eastAsia"/>
                <w:sz w:val="24"/>
                <w:szCs w:val="24"/>
              </w:rPr>
              <w:t>总铬</w:t>
            </w:r>
            <w:proofErr w:type="gramEnd"/>
          </w:p>
        </w:tc>
        <w:tc>
          <w:tcPr>
            <w:tcW w:w="2007" w:type="dxa"/>
            <w:vAlign w:val="center"/>
          </w:tcPr>
          <w:p w:rsidR="001133ED" w:rsidRPr="00A04C30" w:rsidRDefault="001133ED" w:rsidP="005B4D20">
            <w:pPr>
              <w:jc w:val="center"/>
              <w:rPr>
                <w:sz w:val="24"/>
                <w:szCs w:val="24"/>
              </w:rPr>
            </w:pPr>
            <w:r w:rsidRPr="00A04C30">
              <w:rPr>
                <w:rFonts w:hint="eastAsia"/>
                <w:sz w:val="24"/>
                <w:szCs w:val="24"/>
              </w:rPr>
              <w:t>0.03</w:t>
            </w:r>
          </w:p>
        </w:tc>
        <w:tc>
          <w:tcPr>
            <w:tcW w:w="0" w:type="auto"/>
            <w:vAlign w:val="center"/>
          </w:tcPr>
          <w:p w:rsidR="001133ED" w:rsidRPr="00A04C30" w:rsidRDefault="001133ED" w:rsidP="005B4D20">
            <w:pPr>
              <w:jc w:val="center"/>
              <w:rPr>
                <w:sz w:val="24"/>
                <w:szCs w:val="24"/>
              </w:rPr>
            </w:pPr>
            <w:r w:rsidRPr="00A04C30">
              <w:rPr>
                <w:rFonts w:hint="eastAsia"/>
                <w:sz w:val="24"/>
                <w:szCs w:val="24"/>
              </w:rPr>
              <w:t>&lt;0.03</w:t>
            </w:r>
          </w:p>
        </w:tc>
        <w:tc>
          <w:tcPr>
            <w:tcW w:w="1132" w:type="dxa"/>
          </w:tcPr>
          <w:p w:rsidR="001133ED" w:rsidRDefault="001133ED" w:rsidP="005B4D20">
            <w:pPr>
              <w:jc w:val="center"/>
            </w:pPr>
            <w:r w:rsidRPr="003117A4">
              <w:rPr>
                <w:sz w:val="24"/>
                <w:szCs w:val="24"/>
              </w:rPr>
              <w:t>mg/L</w:t>
            </w:r>
          </w:p>
        </w:tc>
      </w:tr>
      <w:tr w:rsidR="001133ED" w:rsidRPr="00A04C30" w:rsidTr="005B4D20">
        <w:trPr>
          <w:trHeight w:hRule="exact" w:val="454"/>
          <w:jc w:val="center"/>
        </w:trPr>
        <w:tc>
          <w:tcPr>
            <w:tcW w:w="0" w:type="auto"/>
            <w:vAlign w:val="center"/>
          </w:tcPr>
          <w:p w:rsidR="001133ED" w:rsidRPr="00A04C30" w:rsidRDefault="001133ED" w:rsidP="005B4D20">
            <w:pPr>
              <w:rPr>
                <w:sz w:val="24"/>
                <w:szCs w:val="24"/>
              </w:rPr>
            </w:pPr>
            <w:r w:rsidRPr="00A04C30">
              <w:rPr>
                <w:rFonts w:hint="eastAsia"/>
                <w:sz w:val="24"/>
                <w:szCs w:val="24"/>
              </w:rPr>
              <w:t>12</w:t>
            </w:r>
          </w:p>
        </w:tc>
        <w:tc>
          <w:tcPr>
            <w:tcW w:w="2498" w:type="dxa"/>
            <w:vAlign w:val="center"/>
          </w:tcPr>
          <w:p w:rsidR="001133ED" w:rsidRPr="00A04C30" w:rsidRDefault="001133ED" w:rsidP="005B4D20">
            <w:pPr>
              <w:rPr>
                <w:sz w:val="24"/>
                <w:szCs w:val="24"/>
              </w:rPr>
            </w:pPr>
            <w:r w:rsidRPr="00A04C30">
              <w:rPr>
                <w:rFonts w:hint="eastAsia"/>
                <w:sz w:val="24"/>
                <w:szCs w:val="24"/>
              </w:rPr>
              <w:t>六价铬</w:t>
            </w:r>
          </w:p>
        </w:tc>
        <w:tc>
          <w:tcPr>
            <w:tcW w:w="2007" w:type="dxa"/>
            <w:vAlign w:val="center"/>
          </w:tcPr>
          <w:p w:rsidR="001133ED" w:rsidRPr="00A04C30" w:rsidRDefault="001133ED" w:rsidP="005B4D20">
            <w:pPr>
              <w:jc w:val="center"/>
              <w:rPr>
                <w:sz w:val="24"/>
                <w:szCs w:val="24"/>
              </w:rPr>
            </w:pPr>
            <w:r w:rsidRPr="00A04C30">
              <w:rPr>
                <w:rFonts w:hint="eastAsia"/>
                <w:sz w:val="24"/>
                <w:szCs w:val="24"/>
              </w:rPr>
              <w:t>0.067</w:t>
            </w:r>
          </w:p>
        </w:tc>
        <w:tc>
          <w:tcPr>
            <w:tcW w:w="0" w:type="auto"/>
            <w:vAlign w:val="center"/>
          </w:tcPr>
          <w:p w:rsidR="001133ED" w:rsidRPr="00A04C30" w:rsidRDefault="001133ED" w:rsidP="005B4D20">
            <w:pPr>
              <w:jc w:val="center"/>
              <w:rPr>
                <w:sz w:val="24"/>
                <w:szCs w:val="24"/>
              </w:rPr>
            </w:pPr>
            <w:r w:rsidRPr="00A04C30">
              <w:rPr>
                <w:rFonts w:hint="eastAsia"/>
                <w:sz w:val="24"/>
                <w:szCs w:val="24"/>
              </w:rPr>
              <w:t>0.006</w:t>
            </w:r>
          </w:p>
        </w:tc>
        <w:tc>
          <w:tcPr>
            <w:tcW w:w="1132" w:type="dxa"/>
          </w:tcPr>
          <w:p w:rsidR="001133ED" w:rsidRDefault="001133ED" w:rsidP="005B4D20">
            <w:pPr>
              <w:jc w:val="center"/>
            </w:pPr>
            <w:r w:rsidRPr="003117A4">
              <w:rPr>
                <w:sz w:val="24"/>
                <w:szCs w:val="24"/>
              </w:rPr>
              <w:t>mg/L</w:t>
            </w:r>
          </w:p>
        </w:tc>
      </w:tr>
      <w:tr w:rsidR="001133ED" w:rsidRPr="00A04C30" w:rsidTr="005B4D20">
        <w:trPr>
          <w:trHeight w:hRule="exact" w:val="454"/>
          <w:jc w:val="center"/>
        </w:trPr>
        <w:tc>
          <w:tcPr>
            <w:tcW w:w="0" w:type="auto"/>
            <w:vAlign w:val="center"/>
          </w:tcPr>
          <w:p w:rsidR="001133ED" w:rsidRPr="00A04C30" w:rsidRDefault="001133ED" w:rsidP="005B4D20">
            <w:pPr>
              <w:rPr>
                <w:sz w:val="24"/>
                <w:szCs w:val="24"/>
              </w:rPr>
            </w:pPr>
            <w:r w:rsidRPr="00A04C30">
              <w:rPr>
                <w:rFonts w:hint="eastAsia"/>
                <w:sz w:val="24"/>
                <w:szCs w:val="24"/>
              </w:rPr>
              <w:t>13</w:t>
            </w:r>
          </w:p>
        </w:tc>
        <w:tc>
          <w:tcPr>
            <w:tcW w:w="2498" w:type="dxa"/>
            <w:vAlign w:val="center"/>
          </w:tcPr>
          <w:p w:rsidR="001133ED" w:rsidRPr="00A04C30" w:rsidRDefault="001133ED" w:rsidP="005B4D20">
            <w:pPr>
              <w:rPr>
                <w:sz w:val="24"/>
                <w:szCs w:val="24"/>
              </w:rPr>
            </w:pPr>
            <w:r w:rsidRPr="00A04C30">
              <w:rPr>
                <w:rFonts w:hint="eastAsia"/>
                <w:sz w:val="24"/>
                <w:szCs w:val="24"/>
              </w:rPr>
              <w:t>总砷</w:t>
            </w:r>
          </w:p>
        </w:tc>
        <w:tc>
          <w:tcPr>
            <w:tcW w:w="2007" w:type="dxa"/>
            <w:vAlign w:val="center"/>
          </w:tcPr>
          <w:p w:rsidR="001133ED" w:rsidRPr="00A04C30" w:rsidRDefault="001133ED" w:rsidP="005B4D20">
            <w:pPr>
              <w:jc w:val="center"/>
              <w:rPr>
                <w:sz w:val="24"/>
                <w:szCs w:val="24"/>
              </w:rPr>
            </w:pPr>
            <w:r w:rsidRPr="00A04C30">
              <w:rPr>
                <w:rFonts w:hint="eastAsia"/>
                <w:sz w:val="24"/>
                <w:szCs w:val="24"/>
              </w:rPr>
              <w:t>39.3</w:t>
            </w:r>
          </w:p>
        </w:tc>
        <w:tc>
          <w:tcPr>
            <w:tcW w:w="0" w:type="auto"/>
            <w:vAlign w:val="center"/>
          </w:tcPr>
          <w:p w:rsidR="001133ED" w:rsidRPr="00A04C30" w:rsidRDefault="001133ED" w:rsidP="005B4D20">
            <w:pPr>
              <w:jc w:val="center"/>
              <w:rPr>
                <w:sz w:val="24"/>
                <w:szCs w:val="24"/>
              </w:rPr>
            </w:pPr>
            <w:r w:rsidRPr="00A04C30">
              <w:rPr>
                <w:rFonts w:hint="eastAsia"/>
                <w:sz w:val="24"/>
                <w:szCs w:val="24"/>
              </w:rPr>
              <w:t>&lt;0.3</w:t>
            </w:r>
          </w:p>
        </w:tc>
        <w:tc>
          <w:tcPr>
            <w:tcW w:w="1132" w:type="dxa"/>
          </w:tcPr>
          <w:p w:rsidR="001133ED" w:rsidRDefault="001133ED" w:rsidP="005B4D20">
            <w:pPr>
              <w:jc w:val="center"/>
            </w:pPr>
            <w:proofErr w:type="spellStart"/>
            <w:r w:rsidRPr="00A04C30">
              <w:rPr>
                <w:sz w:val="24"/>
                <w:szCs w:val="24"/>
              </w:rPr>
              <w:t>μg</w:t>
            </w:r>
            <w:proofErr w:type="spellEnd"/>
            <w:r w:rsidRPr="00A04C30">
              <w:rPr>
                <w:sz w:val="24"/>
                <w:szCs w:val="24"/>
              </w:rPr>
              <w:t>/L</w:t>
            </w:r>
          </w:p>
        </w:tc>
      </w:tr>
      <w:tr w:rsidR="001133ED" w:rsidRPr="00A04C30" w:rsidTr="005B4D20">
        <w:trPr>
          <w:trHeight w:hRule="exact" w:val="454"/>
          <w:jc w:val="center"/>
        </w:trPr>
        <w:tc>
          <w:tcPr>
            <w:tcW w:w="0" w:type="auto"/>
            <w:vAlign w:val="center"/>
          </w:tcPr>
          <w:p w:rsidR="001133ED" w:rsidRPr="00A04C30" w:rsidRDefault="001133ED" w:rsidP="005B4D20">
            <w:pPr>
              <w:rPr>
                <w:sz w:val="24"/>
                <w:szCs w:val="24"/>
              </w:rPr>
            </w:pPr>
            <w:r w:rsidRPr="00A04C30">
              <w:rPr>
                <w:rFonts w:hint="eastAsia"/>
                <w:sz w:val="24"/>
                <w:szCs w:val="24"/>
              </w:rPr>
              <w:t>14</w:t>
            </w:r>
          </w:p>
        </w:tc>
        <w:tc>
          <w:tcPr>
            <w:tcW w:w="2498" w:type="dxa"/>
            <w:vAlign w:val="center"/>
          </w:tcPr>
          <w:p w:rsidR="001133ED" w:rsidRPr="00A04C30" w:rsidRDefault="001133ED" w:rsidP="005B4D20">
            <w:pPr>
              <w:rPr>
                <w:sz w:val="24"/>
                <w:szCs w:val="24"/>
              </w:rPr>
            </w:pPr>
            <w:proofErr w:type="gramStart"/>
            <w:r w:rsidRPr="00A04C30">
              <w:rPr>
                <w:rFonts w:hint="eastAsia"/>
                <w:sz w:val="24"/>
                <w:szCs w:val="24"/>
              </w:rPr>
              <w:t>总铅</w:t>
            </w:r>
            <w:proofErr w:type="gramEnd"/>
          </w:p>
        </w:tc>
        <w:tc>
          <w:tcPr>
            <w:tcW w:w="2007" w:type="dxa"/>
            <w:vAlign w:val="center"/>
          </w:tcPr>
          <w:p w:rsidR="001133ED" w:rsidRPr="00A04C30" w:rsidRDefault="001133ED" w:rsidP="005B4D20">
            <w:pPr>
              <w:jc w:val="center"/>
              <w:rPr>
                <w:sz w:val="24"/>
                <w:szCs w:val="24"/>
              </w:rPr>
            </w:pPr>
            <w:r w:rsidRPr="00A04C30">
              <w:rPr>
                <w:rFonts w:hint="eastAsia"/>
                <w:sz w:val="24"/>
                <w:szCs w:val="24"/>
              </w:rPr>
              <w:t>0.02</w:t>
            </w:r>
          </w:p>
        </w:tc>
        <w:tc>
          <w:tcPr>
            <w:tcW w:w="0" w:type="auto"/>
            <w:vAlign w:val="center"/>
          </w:tcPr>
          <w:p w:rsidR="001133ED" w:rsidRPr="00A04C30" w:rsidRDefault="001133ED" w:rsidP="005B4D20">
            <w:pPr>
              <w:jc w:val="center"/>
              <w:rPr>
                <w:sz w:val="24"/>
                <w:szCs w:val="24"/>
              </w:rPr>
            </w:pPr>
            <w:r w:rsidRPr="00A04C30">
              <w:rPr>
                <w:rFonts w:hint="eastAsia"/>
                <w:sz w:val="24"/>
                <w:szCs w:val="24"/>
              </w:rPr>
              <w:t>0.04</w:t>
            </w:r>
          </w:p>
        </w:tc>
        <w:tc>
          <w:tcPr>
            <w:tcW w:w="1132" w:type="dxa"/>
          </w:tcPr>
          <w:p w:rsidR="001133ED" w:rsidRDefault="001133ED" w:rsidP="005B4D20">
            <w:pPr>
              <w:jc w:val="center"/>
            </w:pPr>
            <w:r w:rsidRPr="003117A4">
              <w:rPr>
                <w:sz w:val="24"/>
                <w:szCs w:val="24"/>
              </w:rPr>
              <w:t>mg/L</w:t>
            </w:r>
          </w:p>
        </w:tc>
      </w:tr>
    </w:tbl>
    <w:p w:rsidR="00BB6334" w:rsidRDefault="00BB6334" w:rsidP="00BB6334">
      <w:pPr>
        <w:spacing w:line="360" w:lineRule="auto"/>
        <w:rPr>
          <w:rFonts w:ascii="Times New Roman" w:eastAsia="宋体" w:hAnsi="Times New Roman" w:cs="Times New Roman"/>
          <w:b/>
          <w:sz w:val="24"/>
          <w:szCs w:val="24"/>
        </w:rPr>
      </w:pPr>
      <w:r w:rsidRPr="004D3B8F">
        <w:rPr>
          <w:rFonts w:ascii="Times New Roman" w:eastAsia="宋体" w:hAnsi="Times New Roman" w:cs="Times New Roman" w:hint="eastAsia"/>
          <w:b/>
          <w:sz w:val="24"/>
          <w:szCs w:val="24"/>
        </w:rPr>
        <w:t>2</w:t>
      </w:r>
      <w:r>
        <w:rPr>
          <w:rFonts w:ascii="Times New Roman" w:eastAsia="宋体" w:hAnsi="Times New Roman" w:cs="Times New Roman" w:hint="eastAsia"/>
          <w:b/>
          <w:sz w:val="24"/>
          <w:szCs w:val="24"/>
        </w:rPr>
        <w:t>、存量垃圾处理量</w:t>
      </w:r>
    </w:p>
    <w:p w:rsidR="00BB6334" w:rsidRPr="00BB6334" w:rsidRDefault="00BB6334" w:rsidP="00BB6334">
      <w:pPr>
        <w:spacing w:line="360" w:lineRule="auto"/>
        <w:ind w:firstLineChars="200" w:firstLine="480"/>
        <w:rPr>
          <w:rFonts w:ascii="Times New Roman" w:eastAsia="宋体" w:hAnsi="Times New Roman" w:cs="Times New Roman"/>
          <w:b/>
          <w:sz w:val="24"/>
          <w:szCs w:val="24"/>
        </w:rPr>
      </w:pPr>
      <w:r>
        <w:rPr>
          <w:rFonts w:ascii="Times New Roman" w:eastAsia="宋体" w:hAnsi="Times New Roman" w:cs="Times New Roman" w:hint="eastAsia"/>
          <w:sz w:val="24"/>
          <w:szCs w:val="24"/>
        </w:rPr>
        <w:t>2000</w:t>
      </w:r>
      <w:r>
        <w:rPr>
          <w:rFonts w:ascii="Times New Roman" w:eastAsia="宋体" w:hAnsi="Times New Roman" w:cs="Times New Roman" w:hint="eastAsia"/>
          <w:sz w:val="24"/>
          <w:szCs w:val="24"/>
        </w:rPr>
        <w:t>吨</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日。</w:t>
      </w:r>
    </w:p>
    <w:p w:rsidR="004D3B8F" w:rsidRDefault="00BB6334" w:rsidP="004D3B8F">
      <w:pPr>
        <w:spacing w:line="360" w:lineRule="auto"/>
        <w:rPr>
          <w:rFonts w:ascii="Times New Roman" w:eastAsia="宋体" w:hAnsi="Times New Roman" w:cs="Times New Roman"/>
          <w:b/>
          <w:sz w:val="24"/>
          <w:szCs w:val="24"/>
        </w:rPr>
      </w:pPr>
      <w:r>
        <w:rPr>
          <w:rFonts w:ascii="Times New Roman" w:eastAsia="宋体" w:hAnsi="Times New Roman" w:cs="Times New Roman" w:hint="eastAsia"/>
          <w:b/>
          <w:sz w:val="24"/>
          <w:szCs w:val="24"/>
        </w:rPr>
        <w:t>3</w:t>
      </w:r>
      <w:r w:rsidR="001133ED">
        <w:rPr>
          <w:rFonts w:ascii="Times New Roman" w:eastAsia="宋体" w:hAnsi="Times New Roman" w:cs="Times New Roman" w:hint="eastAsia"/>
          <w:b/>
          <w:sz w:val="24"/>
          <w:szCs w:val="24"/>
        </w:rPr>
        <w:t>、某污水厂</w:t>
      </w:r>
      <w:r w:rsidR="005F0E0C">
        <w:rPr>
          <w:rFonts w:ascii="Times New Roman" w:eastAsia="宋体" w:hAnsi="Times New Roman" w:cs="Times New Roman" w:hint="eastAsia"/>
          <w:b/>
          <w:sz w:val="24"/>
          <w:szCs w:val="24"/>
        </w:rPr>
        <w:t>生物反应段的</w:t>
      </w:r>
      <w:r w:rsidR="001133ED">
        <w:rPr>
          <w:rFonts w:ascii="Times New Roman" w:eastAsia="宋体" w:hAnsi="Times New Roman" w:cs="Times New Roman" w:hint="eastAsia"/>
          <w:b/>
          <w:sz w:val="24"/>
          <w:szCs w:val="24"/>
        </w:rPr>
        <w:t>基本情况</w:t>
      </w:r>
    </w:p>
    <w:p w:rsidR="004D3B8F" w:rsidRDefault="005F0E0C" w:rsidP="004D3B8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某污水处理厂生物反应</w:t>
      </w:r>
      <w:proofErr w:type="gramStart"/>
      <w:r>
        <w:rPr>
          <w:rFonts w:ascii="Times New Roman" w:eastAsia="宋体" w:hAnsi="Times New Roman" w:cs="Times New Roman" w:hint="eastAsia"/>
          <w:sz w:val="24"/>
          <w:szCs w:val="24"/>
        </w:rPr>
        <w:t>段处理</w:t>
      </w:r>
      <w:proofErr w:type="gramEnd"/>
      <w:r>
        <w:rPr>
          <w:rFonts w:ascii="Times New Roman" w:eastAsia="宋体" w:hAnsi="Times New Roman" w:cs="Times New Roman" w:hint="eastAsia"/>
          <w:sz w:val="24"/>
          <w:szCs w:val="24"/>
        </w:rPr>
        <w:t>规模</w:t>
      </w:r>
      <w:r>
        <w:rPr>
          <w:rFonts w:ascii="Times New Roman" w:eastAsia="宋体" w:hAnsi="Times New Roman" w:cs="Times New Roman" w:hint="eastAsia"/>
          <w:sz w:val="24"/>
          <w:szCs w:val="24"/>
        </w:rPr>
        <w:t>20</w:t>
      </w:r>
      <w:r>
        <w:rPr>
          <w:rFonts w:ascii="Times New Roman" w:eastAsia="宋体" w:hAnsi="Times New Roman" w:cs="Times New Roman" w:hint="eastAsia"/>
          <w:sz w:val="24"/>
          <w:szCs w:val="24"/>
        </w:rPr>
        <w:t>万吨</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日，分为</w:t>
      </w:r>
      <w:r>
        <w:rPr>
          <w:rFonts w:ascii="Times New Roman" w:eastAsia="宋体" w:hAnsi="Times New Roman" w:cs="Times New Roman" w:hint="eastAsia"/>
          <w:sz w:val="24"/>
          <w:szCs w:val="24"/>
        </w:rPr>
        <w:t>4</w:t>
      </w:r>
      <w:r>
        <w:rPr>
          <w:rFonts w:ascii="Times New Roman" w:eastAsia="宋体" w:hAnsi="Times New Roman" w:cs="Times New Roman" w:hint="eastAsia"/>
          <w:sz w:val="24"/>
          <w:szCs w:val="24"/>
        </w:rPr>
        <w:t>池，土建及设备全部完备</w:t>
      </w:r>
      <w:r w:rsidR="004D3B8F" w:rsidRPr="004D3B8F">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目前进水</w:t>
      </w:r>
      <w:r>
        <w:rPr>
          <w:rFonts w:ascii="Times New Roman" w:eastAsia="宋体" w:hAnsi="Times New Roman" w:cs="Times New Roman" w:hint="eastAsia"/>
          <w:sz w:val="24"/>
          <w:szCs w:val="24"/>
        </w:rPr>
        <w:t>5</w:t>
      </w:r>
      <w:r>
        <w:rPr>
          <w:rFonts w:ascii="Times New Roman" w:eastAsia="宋体" w:hAnsi="Times New Roman" w:cs="Times New Roman" w:hint="eastAsia"/>
          <w:sz w:val="24"/>
          <w:szCs w:val="24"/>
        </w:rPr>
        <w:t>万吨</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日，运行</w:t>
      </w: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池，其他</w:t>
      </w:r>
      <w:r>
        <w:rPr>
          <w:rFonts w:ascii="Times New Roman" w:eastAsia="宋体" w:hAnsi="Times New Roman" w:cs="Times New Roman" w:hint="eastAsia"/>
          <w:sz w:val="24"/>
          <w:szCs w:val="24"/>
        </w:rPr>
        <w:t>3</w:t>
      </w:r>
      <w:r>
        <w:rPr>
          <w:rFonts w:ascii="Times New Roman" w:eastAsia="宋体" w:hAnsi="Times New Roman" w:cs="Times New Roman" w:hint="eastAsia"/>
          <w:sz w:val="24"/>
          <w:szCs w:val="24"/>
        </w:rPr>
        <w:t>池闲置。</w:t>
      </w:r>
    </w:p>
    <w:p w:rsidR="005F0E0C" w:rsidRDefault="005F0E0C" w:rsidP="004D3B8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原</w:t>
      </w:r>
      <w:r>
        <w:rPr>
          <w:rFonts w:ascii="Times New Roman" w:eastAsia="宋体" w:hAnsi="Times New Roman" w:cs="Times New Roman" w:hint="eastAsia"/>
          <w:sz w:val="24"/>
          <w:szCs w:val="24"/>
        </w:rPr>
        <w:t>20</w:t>
      </w:r>
      <w:r>
        <w:rPr>
          <w:rFonts w:ascii="Times New Roman" w:eastAsia="宋体" w:hAnsi="Times New Roman" w:cs="Times New Roman" w:hint="eastAsia"/>
          <w:sz w:val="24"/>
          <w:szCs w:val="24"/>
        </w:rPr>
        <w:t>万吨</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日规模时的反应</w:t>
      </w:r>
      <w:proofErr w:type="gramStart"/>
      <w:r>
        <w:rPr>
          <w:rFonts w:ascii="Times New Roman" w:eastAsia="宋体" w:hAnsi="Times New Roman" w:cs="Times New Roman" w:hint="eastAsia"/>
          <w:sz w:val="24"/>
          <w:szCs w:val="24"/>
        </w:rPr>
        <w:t>池设计</w:t>
      </w:r>
      <w:proofErr w:type="gramEnd"/>
      <w:r>
        <w:rPr>
          <w:rFonts w:ascii="Times New Roman" w:eastAsia="宋体" w:hAnsi="Times New Roman" w:cs="Times New Roman" w:hint="eastAsia"/>
          <w:sz w:val="24"/>
          <w:szCs w:val="24"/>
        </w:rPr>
        <w:t>如下：</w:t>
      </w:r>
    </w:p>
    <w:p w:rsidR="005F0E0C" w:rsidRPr="005F0E0C" w:rsidRDefault="005F0E0C" w:rsidP="005F0E0C">
      <w:pPr>
        <w:spacing w:line="360" w:lineRule="auto"/>
        <w:ind w:firstLineChars="200" w:firstLine="480"/>
        <w:rPr>
          <w:rFonts w:ascii="Times New Roman" w:eastAsia="宋体" w:hAnsi="Times New Roman" w:cs="Times New Roman"/>
          <w:sz w:val="24"/>
          <w:szCs w:val="24"/>
        </w:rPr>
      </w:pPr>
      <w:r w:rsidRPr="005F0E0C">
        <w:rPr>
          <w:rFonts w:ascii="Times New Roman" w:eastAsia="宋体" w:hAnsi="Times New Roman" w:cs="Times New Roman" w:hint="eastAsia"/>
          <w:sz w:val="24"/>
          <w:szCs w:val="24"/>
        </w:rPr>
        <w:t>前置缺氧段</w:t>
      </w:r>
      <w:r w:rsidRPr="005F0E0C">
        <w:rPr>
          <w:rFonts w:ascii="Times New Roman" w:eastAsia="宋体" w:hAnsi="Times New Roman" w:cs="Times New Roman"/>
          <w:sz w:val="24"/>
          <w:szCs w:val="24"/>
        </w:rPr>
        <w:t xml:space="preserve"> A/A/O </w:t>
      </w:r>
      <w:r w:rsidRPr="005F0E0C">
        <w:rPr>
          <w:rFonts w:ascii="Times New Roman" w:eastAsia="宋体" w:hAnsi="Times New Roman" w:cs="Times New Roman" w:hint="eastAsia"/>
          <w:sz w:val="24"/>
          <w:szCs w:val="24"/>
        </w:rPr>
        <w:t>生物</w:t>
      </w:r>
      <w:proofErr w:type="gramStart"/>
      <w:r w:rsidRPr="005F0E0C">
        <w:rPr>
          <w:rFonts w:ascii="Times New Roman" w:eastAsia="宋体" w:hAnsi="Times New Roman" w:cs="Times New Roman" w:hint="eastAsia"/>
          <w:sz w:val="24"/>
          <w:szCs w:val="24"/>
        </w:rPr>
        <w:t>反应池共</w:t>
      </w:r>
      <w:proofErr w:type="gramEnd"/>
      <w:r w:rsidRPr="005F0E0C">
        <w:rPr>
          <w:rFonts w:ascii="Times New Roman" w:eastAsia="宋体" w:hAnsi="Times New Roman" w:cs="Times New Roman"/>
          <w:sz w:val="24"/>
          <w:szCs w:val="24"/>
        </w:rPr>
        <w:t xml:space="preserve">2 </w:t>
      </w:r>
      <w:r w:rsidRPr="005F0E0C">
        <w:rPr>
          <w:rFonts w:ascii="Times New Roman" w:eastAsia="宋体" w:hAnsi="Times New Roman" w:cs="Times New Roman" w:hint="eastAsia"/>
          <w:sz w:val="24"/>
          <w:szCs w:val="24"/>
        </w:rPr>
        <w:t>座</w:t>
      </w:r>
      <w:r w:rsidRPr="005F0E0C">
        <w:rPr>
          <w:rFonts w:ascii="Times New Roman" w:eastAsia="宋体" w:hAnsi="Times New Roman" w:cs="Times New Roman"/>
          <w:sz w:val="24"/>
          <w:szCs w:val="24"/>
        </w:rPr>
        <w:t xml:space="preserve">4 </w:t>
      </w:r>
      <w:r w:rsidRPr="005F0E0C">
        <w:rPr>
          <w:rFonts w:ascii="Times New Roman" w:eastAsia="宋体" w:hAnsi="Times New Roman" w:cs="Times New Roman" w:hint="eastAsia"/>
          <w:sz w:val="24"/>
          <w:szCs w:val="24"/>
        </w:rPr>
        <w:t>池。有效水深</w:t>
      </w:r>
      <w:r w:rsidRPr="005F0E0C">
        <w:rPr>
          <w:rFonts w:ascii="Times New Roman" w:eastAsia="宋体" w:hAnsi="Times New Roman" w:cs="Times New Roman"/>
          <w:sz w:val="24"/>
          <w:szCs w:val="24"/>
        </w:rPr>
        <w:t>6m</w:t>
      </w:r>
      <w:r w:rsidRPr="005F0E0C">
        <w:rPr>
          <w:rFonts w:ascii="Times New Roman" w:eastAsia="宋体" w:hAnsi="Times New Roman" w:cs="Times New Roman" w:hint="eastAsia"/>
          <w:sz w:val="24"/>
          <w:szCs w:val="24"/>
        </w:rPr>
        <w:t>，总有效容积为</w:t>
      </w:r>
      <w:r w:rsidRPr="005F0E0C">
        <w:rPr>
          <w:rFonts w:ascii="Times New Roman" w:eastAsia="宋体" w:hAnsi="Times New Roman" w:cs="Times New Roman"/>
          <w:sz w:val="24"/>
          <w:szCs w:val="24"/>
        </w:rPr>
        <w:t>183333m</w:t>
      </w:r>
      <w:r w:rsidRPr="005F0E0C">
        <w:rPr>
          <w:rFonts w:ascii="Times New Roman" w:eastAsia="宋体" w:hAnsi="Times New Roman" w:cs="Times New Roman"/>
          <w:sz w:val="24"/>
          <w:szCs w:val="24"/>
          <w:vertAlign w:val="superscript"/>
        </w:rPr>
        <w:t>3</w:t>
      </w:r>
      <w:r w:rsidRPr="005F0E0C">
        <w:rPr>
          <w:rFonts w:ascii="Times New Roman" w:eastAsia="宋体" w:hAnsi="Times New Roman" w:cs="Times New Roman" w:hint="eastAsia"/>
          <w:sz w:val="24"/>
          <w:szCs w:val="24"/>
        </w:rPr>
        <w:t>，单座生物反应池有效容积：</w:t>
      </w:r>
      <w:r w:rsidRPr="005F0E0C">
        <w:rPr>
          <w:rFonts w:ascii="Times New Roman" w:eastAsia="宋体" w:hAnsi="Times New Roman" w:cs="Times New Roman"/>
          <w:sz w:val="24"/>
          <w:szCs w:val="24"/>
        </w:rPr>
        <w:t>91667m</w:t>
      </w:r>
      <w:r w:rsidRPr="005F0E0C">
        <w:rPr>
          <w:rFonts w:ascii="Times New Roman" w:eastAsia="宋体" w:hAnsi="Times New Roman" w:cs="Times New Roman"/>
          <w:sz w:val="24"/>
          <w:szCs w:val="24"/>
          <w:vertAlign w:val="superscript"/>
        </w:rPr>
        <w:t>3</w:t>
      </w:r>
      <w:r w:rsidRPr="005F0E0C">
        <w:rPr>
          <w:rFonts w:ascii="Times New Roman" w:eastAsia="宋体" w:hAnsi="Times New Roman" w:cs="Times New Roman" w:hint="eastAsia"/>
          <w:sz w:val="24"/>
          <w:szCs w:val="24"/>
        </w:rPr>
        <w:t>，总停留时间</w:t>
      </w:r>
      <w:r w:rsidRPr="005F0E0C">
        <w:rPr>
          <w:rFonts w:ascii="Times New Roman" w:eastAsia="宋体" w:hAnsi="Times New Roman" w:cs="Times New Roman"/>
          <w:sz w:val="24"/>
          <w:szCs w:val="24"/>
        </w:rPr>
        <w:t>22h</w:t>
      </w:r>
      <w:r w:rsidRPr="005F0E0C">
        <w:rPr>
          <w:rFonts w:ascii="Times New Roman" w:eastAsia="宋体" w:hAnsi="Times New Roman" w:cs="Times New Roman" w:hint="eastAsia"/>
          <w:sz w:val="24"/>
          <w:szCs w:val="24"/>
        </w:rPr>
        <w:t>。为进一步减少生物反应池对周边环境的影响，本工程生物反应池顶部封闭，并</w:t>
      </w:r>
      <w:proofErr w:type="gramStart"/>
      <w:r w:rsidRPr="005F0E0C">
        <w:rPr>
          <w:rFonts w:ascii="Times New Roman" w:eastAsia="宋体" w:hAnsi="Times New Roman" w:cs="Times New Roman" w:hint="eastAsia"/>
          <w:sz w:val="24"/>
          <w:szCs w:val="24"/>
        </w:rPr>
        <w:t>在池顶种植</w:t>
      </w:r>
      <w:proofErr w:type="gramEnd"/>
      <w:r w:rsidRPr="005F0E0C">
        <w:rPr>
          <w:rFonts w:ascii="Times New Roman" w:eastAsia="宋体" w:hAnsi="Times New Roman" w:cs="Times New Roman" w:hint="eastAsia"/>
          <w:sz w:val="24"/>
          <w:szCs w:val="24"/>
        </w:rPr>
        <w:t>绿化、设置土壤滤池除臭。</w:t>
      </w:r>
    </w:p>
    <w:p w:rsidR="005F0E0C" w:rsidRPr="005F0E0C" w:rsidRDefault="005F0E0C" w:rsidP="005F0E0C">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具体布置见附图</w:t>
      </w:r>
      <w:r w:rsidR="00704C24">
        <w:rPr>
          <w:rFonts w:ascii="Times New Roman" w:eastAsia="宋体" w:hAnsi="Times New Roman" w:cs="Times New Roman" w:hint="eastAsia"/>
          <w:sz w:val="24"/>
          <w:szCs w:val="24"/>
        </w:rPr>
        <w:t>—生物反应池附图。</w:t>
      </w:r>
    </w:p>
    <w:p w:rsidR="00663B33" w:rsidRDefault="00663B33" w:rsidP="00663B33">
      <w:pPr>
        <w:jc w:val="left"/>
        <w:rPr>
          <w:b/>
          <w:sz w:val="28"/>
        </w:rPr>
      </w:pPr>
      <w:r>
        <w:rPr>
          <w:rFonts w:hint="eastAsia"/>
          <w:b/>
          <w:sz w:val="28"/>
        </w:rPr>
        <w:t>三</w:t>
      </w:r>
      <w:r w:rsidRPr="007E3282">
        <w:rPr>
          <w:rFonts w:hint="eastAsia"/>
          <w:b/>
          <w:sz w:val="28"/>
        </w:rPr>
        <w:t>、设计要求</w:t>
      </w:r>
    </w:p>
    <w:p w:rsidR="00663B33" w:rsidRDefault="00663B33" w:rsidP="00663B33">
      <w:pPr>
        <w:jc w:val="left"/>
        <w:rPr>
          <w:b/>
          <w:sz w:val="28"/>
        </w:rPr>
      </w:pPr>
      <w:r>
        <w:rPr>
          <w:rFonts w:hint="eastAsia"/>
          <w:b/>
          <w:sz w:val="28"/>
        </w:rPr>
        <w:t>1</w:t>
      </w:r>
      <w:r>
        <w:rPr>
          <w:rFonts w:hint="eastAsia"/>
          <w:b/>
          <w:sz w:val="28"/>
        </w:rPr>
        <w:t>、设计内容</w:t>
      </w:r>
    </w:p>
    <w:p w:rsidR="00BB6334" w:rsidRDefault="00BB6334" w:rsidP="00BB6334">
      <w:pPr>
        <w:spacing w:line="360" w:lineRule="auto"/>
        <w:ind w:firstLineChars="250" w:firstLine="600"/>
        <w:rPr>
          <w:rFonts w:ascii="Times New Roman" w:eastAsia="宋体" w:hAnsi="Times New Roman" w:cs="Times New Roman"/>
          <w:sz w:val="24"/>
          <w:szCs w:val="24"/>
        </w:rPr>
      </w:pPr>
      <w:r>
        <w:rPr>
          <w:rFonts w:ascii="Times New Roman" w:eastAsia="宋体" w:hAnsi="Times New Roman" w:cs="Times New Roman" w:hint="eastAsia"/>
          <w:sz w:val="24"/>
          <w:szCs w:val="24"/>
        </w:rPr>
        <w:t>改造污水厂未运行的</w:t>
      </w:r>
      <w:r>
        <w:rPr>
          <w:rFonts w:ascii="Times New Roman" w:eastAsia="宋体" w:hAnsi="Times New Roman" w:cs="Times New Roman" w:hint="eastAsia"/>
          <w:sz w:val="24"/>
          <w:szCs w:val="24"/>
        </w:rPr>
        <w:t>3</w:t>
      </w:r>
      <w:r>
        <w:rPr>
          <w:rFonts w:ascii="Times New Roman" w:eastAsia="宋体" w:hAnsi="Times New Roman" w:cs="Times New Roman" w:hint="eastAsia"/>
          <w:sz w:val="24"/>
          <w:szCs w:val="24"/>
        </w:rPr>
        <w:t>池中的一池或二池为处理垃圾渗滤液服务，并配套其余处理设施</w:t>
      </w:r>
      <w:r w:rsidR="00F75EF0">
        <w:rPr>
          <w:rFonts w:ascii="Times New Roman" w:eastAsia="宋体" w:hAnsi="Times New Roman" w:cs="Times New Roman" w:hint="eastAsia"/>
          <w:sz w:val="24"/>
          <w:szCs w:val="24"/>
        </w:rPr>
        <w:t>（其余设施不需要考虑用地的限制）</w:t>
      </w:r>
      <w:r>
        <w:rPr>
          <w:rFonts w:ascii="Times New Roman" w:eastAsia="宋体" w:hAnsi="Times New Roman" w:cs="Times New Roman" w:hint="eastAsia"/>
          <w:sz w:val="24"/>
          <w:szCs w:val="24"/>
        </w:rPr>
        <w:t>，使得经过处理后的渗滤液达到</w:t>
      </w:r>
      <w:r>
        <w:rPr>
          <w:rFonts w:ascii="Times New Roman" w:eastAsia="宋体" w:hAnsi="Times New Roman" w:cs="Times New Roman" w:hint="eastAsia"/>
          <w:sz w:val="24"/>
          <w:szCs w:val="24"/>
        </w:rPr>
        <w:t>GB18918-2002</w:t>
      </w:r>
      <w:r>
        <w:rPr>
          <w:rFonts w:ascii="Times New Roman" w:eastAsia="宋体" w:hAnsi="Times New Roman" w:cs="Times New Roman" w:hint="eastAsia"/>
          <w:sz w:val="24"/>
          <w:szCs w:val="24"/>
        </w:rPr>
        <w:t>中一级</w:t>
      </w:r>
      <w:r>
        <w:rPr>
          <w:rFonts w:ascii="Times New Roman" w:eastAsia="宋体" w:hAnsi="Times New Roman" w:cs="Times New Roman" w:hint="eastAsia"/>
          <w:sz w:val="24"/>
          <w:szCs w:val="24"/>
        </w:rPr>
        <w:t>A</w:t>
      </w:r>
      <w:r>
        <w:rPr>
          <w:rFonts w:ascii="Times New Roman" w:eastAsia="宋体" w:hAnsi="Times New Roman" w:cs="Times New Roman" w:hint="eastAsia"/>
          <w:sz w:val="24"/>
          <w:szCs w:val="24"/>
        </w:rPr>
        <w:t>排放标准后排放。</w:t>
      </w:r>
    </w:p>
    <w:p w:rsidR="00663B33" w:rsidRPr="007E3282" w:rsidRDefault="00BB6334" w:rsidP="00BB6334">
      <w:pPr>
        <w:spacing w:line="360" w:lineRule="auto"/>
        <w:ind w:firstLineChars="250" w:firstLine="600"/>
        <w:rPr>
          <w:rFonts w:ascii="Times New Roman" w:eastAsia="宋体" w:hAnsi="Times New Roman" w:cs="Times New Roman"/>
          <w:sz w:val="24"/>
          <w:szCs w:val="24"/>
        </w:rPr>
      </w:pPr>
      <w:r>
        <w:rPr>
          <w:rFonts w:ascii="Times New Roman" w:eastAsia="宋体" w:hAnsi="Times New Roman" w:cs="Times New Roman" w:hint="eastAsia"/>
          <w:sz w:val="24"/>
          <w:szCs w:val="24"/>
        </w:rPr>
        <w:t>提交垃圾渗滤液入污水处理厂协同处置的方案报告。</w:t>
      </w:r>
    </w:p>
    <w:p w:rsidR="00663B33" w:rsidRPr="00663B33" w:rsidRDefault="00663B33" w:rsidP="00663B33">
      <w:pPr>
        <w:jc w:val="left"/>
        <w:rPr>
          <w:b/>
          <w:sz w:val="28"/>
        </w:rPr>
      </w:pPr>
      <w:r w:rsidRPr="00663B33">
        <w:rPr>
          <w:rFonts w:hint="eastAsia"/>
          <w:b/>
          <w:sz w:val="28"/>
        </w:rPr>
        <w:t>2</w:t>
      </w:r>
      <w:r w:rsidRPr="00663B33">
        <w:rPr>
          <w:rFonts w:hint="eastAsia"/>
          <w:b/>
          <w:sz w:val="28"/>
        </w:rPr>
        <w:t>、成果要求</w:t>
      </w:r>
    </w:p>
    <w:p w:rsidR="004D3B8F" w:rsidRPr="00663B33" w:rsidRDefault="00BB6334" w:rsidP="00663B33">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政策复合性及设计方案说明报告，垃圾渗滤液处理流程图</w:t>
      </w:r>
      <w:r w:rsidR="00097651">
        <w:rPr>
          <w:rFonts w:ascii="Times New Roman" w:hAnsi="Times New Roman" w:cs="Times New Roman" w:hint="eastAsia"/>
          <w:sz w:val="24"/>
        </w:rPr>
        <w:t>。</w:t>
      </w:r>
    </w:p>
    <w:p w:rsidR="004D3B8F" w:rsidRPr="004D3B8F" w:rsidRDefault="004D3B8F" w:rsidP="004D3B8F">
      <w:pPr>
        <w:spacing w:line="360" w:lineRule="auto"/>
        <w:rPr>
          <w:rFonts w:ascii="Times New Roman" w:eastAsia="宋体" w:hAnsi="Times New Roman" w:cs="Times New Roman"/>
          <w:sz w:val="24"/>
          <w:szCs w:val="24"/>
        </w:rPr>
      </w:pPr>
    </w:p>
    <w:sectPr w:rsidR="004D3B8F" w:rsidRPr="004D3B8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209B" w:rsidRDefault="001D209B" w:rsidP="00097651">
      <w:r>
        <w:separator/>
      </w:r>
    </w:p>
  </w:endnote>
  <w:endnote w:type="continuationSeparator" w:id="0">
    <w:p w:rsidR="001D209B" w:rsidRDefault="001D209B" w:rsidP="00097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209B" w:rsidRDefault="001D209B" w:rsidP="00097651">
      <w:r>
        <w:separator/>
      </w:r>
    </w:p>
  </w:footnote>
  <w:footnote w:type="continuationSeparator" w:id="0">
    <w:p w:rsidR="001D209B" w:rsidRDefault="001D209B" w:rsidP="000976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65DE9"/>
    <w:multiLevelType w:val="hybridMultilevel"/>
    <w:tmpl w:val="192C2FF8"/>
    <w:lvl w:ilvl="0" w:tplc="914487C6">
      <w:start w:val="1"/>
      <w:numFmt w:val="decimal"/>
      <w:lvlText w:val="图4-%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84917E0"/>
    <w:multiLevelType w:val="hybridMultilevel"/>
    <w:tmpl w:val="6D14F8C2"/>
    <w:lvl w:ilvl="0" w:tplc="30128590">
      <w:start w:val="1"/>
      <w:numFmt w:val="decimal"/>
      <w:lvlText w:val="图1-%1"/>
      <w:lvlJc w:val="center"/>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CE6"/>
    <w:rsid w:val="00097651"/>
    <w:rsid w:val="001133ED"/>
    <w:rsid w:val="00140367"/>
    <w:rsid w:val="001D209B"/>
    <w:rsid w:val="004D3B8F"/>
    <w:rsid w:val="005F0E0C"/>
    <w:rsid w:val="00663B33"/>
    <w:rsid w:val="00704C24"/>
    <w:rsid w:val="0072048C"/>
    <w:rsid w:val="00746147"/>
    <w:rsid w:val="007E3282"/>
    <w:rsid w:val="00810CE6"/>
    <w:rsid w:val="00A96816"/>
    <w:rsid w:val="00BB6334"/>
    <w:rsid w:val="00BD5CBC"/>
    <w:rsid w:val="00BE7473"/>
    <w:rsid w:val="00CB3F94"/>
    <w:rsid w:val="00E13ABA"/>
    <w:rsid w:val="00E65E83"/>
    <w:rsid w:val="00F75E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33E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46147"/>
    <w:rPr>
      <w:sz w:val="18"/>
      <w:szCs w:val="18"/>
    </w:rPr>
  </w:style>
  <w:style w:type="character" w:customStyle="1" w:styleId="Char">
    <w:name w:val="批注框文本 Char"/>
    <w:basedOn w:val="a0"/>
    <w:link w:val="a3"/>
    <w:uiPriority w:val="99"/>
    <w:semiHidden/>
    <w:rsid w:val="00746147"/>
    <w:rPr>
      <w:sz w:val="18"/>
      <w:szCs w:val="18"/>
    </w:rPr>
  </w:style>
  <w:style w:type="paragraph" w:styleId="a4">
    <w:name w:val="header"/>
    <w:basedOn w:val="a"/>
    <w:link w:val="Char0"/>
    <w:uiPriority w:val="99"/>
    <w:unhideWhenUsed/>
    <w:rsid w:val="0009765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097651"/>
    <w:rPr>
      <w:sz w:val="18"/>
      <w:szCs w:val="18"/>
    </w:rPr>
  </w:style>
  <w:style w:type="paragraph" w:styleId="a5">
    <w:name w:val="footer"/>
    <w:basedOn w:val="a"/>
    <w:link w:val="Char1"/>
    <w:uiPriority w:val="99"/>
    <w:unhideWhenUsed/>
    <w:rsid w:val="00097651"/>
    <w:pPr>
      <w:tabs>
        <w:tab w:val="center" w:pos="4153"/>
        <w:tab w:val="right" w:pos="8306"/>
      </w:tabs>
      <w:snapToGrid w:val="0"/>
      <w:jc w:val="left"/>
    </w:pPr>
    <w:rPr>
      <w:sz w:val="18"/>
      <w:szCs w:val="18"/>
    </w:rPr>
  </w:style>
  <w:style w:type="character" w:customStyle="1" w:styleId="Char1">
    <w:name w:val="页脚 Char"/>
    <w:basedOn w:val="a0"/>
    <w:link w:val="a5"/>
    <w:uiPriority w:val="99"/>
    <w:rsid w:val="0009765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33E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46147"/>
    <w:rPr>
      <w:sz w:val="18"/>
      <w:szCs w:val="18"/>
    </w:rPr>
  </w:style>
  <w:style w:type="character" w:customStyle="1" w:styleId="Char">
    <w:name w:val="批注框文本 Char"/>
    <w:basedOn w:val="a0"/>
    <w:link w:val="a3"/>
    <w:uiPriority w:val="99"/>
    <w:semiHidden/>
    <w:rsid w:val="00746147"/>
    <w:rPr>
      <w:sz w:val="18"/>
      <w:szCs w:val="18"/>
    </w:rPr>
  </w:style>
  <w:style w:type="paragraph" w:styleId="a4">
    <w:name w:val="header"/>
    <w:basedOn w:val="a"/>
    <w:link w:val="Char0"/>
    <w:uiPriority w:val="99"/>
    <w:unhideWhenUsed/>
    <w:rsid w:val="0009765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097651"/>
    <w:rPr>
      <w:sz w:val="18"/>
      <w:szCs w:val="18"/>
    </w:rPr>
  </w:style>
  <w:style w:type="paragraph" w:styleId="a5">
    <w:name w:val="footer"/>
    <w:basedOn w:val="a"/>
    <w:link w:val="Char1"/>
    <w:uiPriority w:val="99"/>
    <w:unhideWhenUsed/>
    <w:rsid w:val="00097651"/>
    <w:pPr>
      <w:tabs>
        <w:tab w:val="center" w:pos="4153"/>
        <w:tab w:val="right" w:pos="8306"/>
      </w:tabs>
      <w:snapToGrid w:val="0"/>
      <w:jc w:val="left"/>
    </w:pPr>
    <w:rPr>
      <w:sz w:val="18"/>
      <w:szCs w:val="18"/>
    </w:rPr>
  </w:style>
  <w:style w:type="character" w:customStyle="1" w:styleId="Char1">
    <w:name w:val="页脚 Char"/>
    <w:basedOn w:val="a0"/>
    <w:link w:val="a5"/>
    <w:uiPriority w:val="99"/>
    <w:rsid w:val="0009765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319</Words>
  <Characters>1819</Characters>
  <Application>Microsoft Office Word</Application>
  <DocSecurity>0</DocSecurity>
  <Lines>15</Lines>
  <Paragraphs>4</Paragraphs>
  <ScaleCrop>false</ScaleCrop>
  <Company/>
  <LinksUpToDate>false</LinksUpToDate>
  <CharactersWithSpaces>2134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李军</cp:lastModifiedBy>
  <cp:revision>6</cp:revision>
  <dcterms:created xsi:type="dcterms:W3CDTF">2019-04-24T12:20:00Z</dcterms:created>
  <dcterms:modified xsi:type="dcterms:W3CDTF">2019-05-15T02:36:00Z</dcterms:modified>
</cp:coreProperties>
</file>