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BA" w:rsidRDefault="00B066BA" w:rsidP="004D0919">
      <w:pPr>
        <w:jc w:val="center"/>
        <w:rPr>
          <w:rFonts w:hint="eastAsia"/>
          <w:b/>
          <w:sz w:val="32"/>
        </w:rPr>
      </w:pPr>
      <w:r>
        <w:rPr>
          <w:rFonts w:hint="eastAsia"/>
          <w:b/>
          <w:sz w:val="32"/>
        </w:rPr>
        <w:t>活性焦吸附塔应用于市政污水处理厂深度处理的布置方案</w:t>
      </w:r>
    </w:p>
    <w:p w:rsidR="00EA2D37" w:rsidRPr="00EA2D37" w:rsidRDefault="00EA2D37" w:rsidP="004D0919">
      <w:pPr>
        <w:jc w:val="center"/>
        <w:rPr>
          <w:b/>
          <w:sz w:val="32"/>
        </w:rPr>
      </w:pPr>
    </w:p>
    <w:p w:rsidR="00746147" w:rsidRDefault="00746147" w:rsidP="00746147">
      <w:pPr>
        <w:jc w:val="left"/>
        <w:rPr>
          <w:b/>
          <w:sz w:val="28"/>
        </w:rPr>
      </w:pPr>
      <w:r w:rsidRPr="00746147">
        <w:rPr>
          <w:rFonts w:hint="eastAsia"/>
          <w:b/>
          <w:sz w:val="28"/>
        </w:rPr>
        <w:t>一、项目背景</w:t>
      </w:r>
    </w:p>
    <w:p w:rsidR="00B066BA" w:rsidRDefault="00B066BA" w:rsidP="00B066BA">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w:t>
      </w:r>
      <w:r w:rsidRPr="00B066BA">
        <w:rPr>
          <w:rFonts w:ascii="Times New Roman" w:eastAsia="宋体" w:hAnsi="Times New Roman" w:cs="Times New Roman" w:hint="eastAsia"/>
          <w:sz w:val="24"/>
          <w:szCs w:val="24"/>
        </w:rPr>
        <w:t>我国部分城市如北京，天津等</w:t>
      </w:r>
      <w:r>
        <w:rPr>
          <w:rFonts w:ascii="Times New Roman" w:eastAsia="宋体" w:hAnsi="Times New Roman" w:cs="Times New Roman" w:hint="eastAsia"/>
          <w:sz w:val="24"/>
          <w:szCs w:val="24"/>
        </w:rPr>
        <w:t>在市政污水处理领域，</w:t>
      </w:r>
      <w:r w:rsidRPr="00B066BA">
        <w:rPr>
          <w:rFonts w:ascii="Times New Roman" w:eastAsia="宋体" w:hAnsi="Times New Roman" w:cs="Times New Roman" w:hint="eastAsia"/>
          <w:sz w:val="24"/>
          <w:szCs w:val="24"/>
        </w:rPr>
        <w:t>相继出台了地方</w:t>
      </w:r>
      <w:r>
        <w:rPr>
          <w:rFonts w:ascii="Times New Roman" w:eastAsia="宋体" w:hAnsi="Times New Roman" w:cs="Times New Roman" w:hint="eastAsia"/>
          <w:sz w:val="24"/>
          <w:szCs w:val="24"/>
        </w:rPr>
        <w:t>排放</w:t>
      </w:r>
      <w:r w:rsidRPr="00B066BA">
        <w:rPr>
          <w:rFonts w:ascii="Times New Roman" w:eastAsia="宋体" w:hAnsi="Times New Roman" w:cs="Times New Roman" w:hint="eastAsia"/>
          <w:sz w:val="24"/>
          <w:szCs w:val="24"/>
        </w:rPr>
        <w:t>标准，国内大部分省市也在酝酿出台相应的地方标准，其出水标准日趋严格</w:t>
      </w:r>
      <w:r>
        <w:rPr>
          <w:rFonts w:ascii="Times New Roman" w:eastAsia="宋体" w:hAnsi="Times New Roman" w:cs="Times New Roman" w:hint="eastAsia"/>
          <w:sz w:val="24"/>
          <w:szCs w:val="24"/>
        </w:rPr>
        <w:t>，部分指标已经达到《地表水环境质量标准》准</w:t>
      </w:r>
      <w:r>
        <w:rPr>
          <w:rFonts w:ascii="宋体" w:eastAsia="宋体" w:hAnsi="宋体" w:cs="Times New Roman" w:hint="eastAsia"/>
          <w:sz w:val="24"/>
          <w:szCs w:val="24"/>
        </w:rPr>
        <w:t>Ⅲ</w:t>
      </w:r>
      <w:r>
        <w:rPr>
          <w:rFonts w:ascii="Times New Roman" w:eastAsia="宋体" w:hAnsi="Times New Roman" w:cs="Times New Roman" w:hint="eastAsia"/>
          <w:sz w:val="24"/>
          <w:szCs w:val="24"/>
        </w:rPr>
        <w:t>类标准</w:t>
      </w:r>
      <w:r w:rsidRPr="00B066BA">
        <w:rPr>
          <w:rFonts w:ascii="Times New Roman" w:eastAsia="宋体" w:hAnsi="Times New Roman" w:cs="Times New Roman" w:hint="eastAsia"/>
          <w:sz w:val="24"/>
          <w:szCs w:val="24"/>
        </w:rPr>
        <w:t>。并且随着海绵城市、黑臭水体治理等项目</w:t>
      </w:r>
      <w:bookmarkStart w:id="0" w:name="_GoBack"/>
      <w:bookmarkEnd w:id="0"/>
      <w:r w:rsidRPr="00B066BA">
        <w:rPr>
          <w:rFonts w:ascii="Times New Roman" w:eastAsia="宋体" w:hAnsi="Times New Roman" w:cs="Times New Roman" w:hint="eastAsia"/>
          <w:sz w:val="24"/>
          <w:szCs w:val="24"/>
        </w:rPr>
        <w:t>的开展，现状污水处理厂出水标准</w:t>
      </w:r>
      <w:r>
        <w:rPr>
          <w:rFonts w:ascii="Times New Roman" w:eastAsia="宋体" w:hAnsi="Times New Roman" w:cs="Times New Roman" w:hint="eastAsia"/>
          <w:sz w:val="24"/>
          <w:szCs w:val="24"/>
        </w:rPr>
        <w:t>可能面临进一步提高的可能，目前在运行的污水处理厂亟待提标改造。</w:t>
      </w:r>
    </w:p>
    <w:p w:rsidR="00B066BA" w:rsidRPr="00C876ED" w:rsidRDefault="00B066BA" w:rsidP="00B066BA">
      <w:pPr>
        <w:pStyle w:val="a6"/>
        <w:spacing w:line="360" w:lineRule="auto"/>
        <w:ind w:firstLineChars="187" w:firstLine="449"/>
        <w:rPr>
          <w:sz w:val="24"/>
          <w:szCs w:val="22"/>
        </w:rPr>
      </w:pPr>
      <w:r w:rsidRPr="00C876ED">
        <w:rPr>
          <w:rFonts w:hint="eastAsia"/>
          <w:sz w:val="24"/>
          <w:szCs w:val="22"/>
        </w:rPr>
        <w:t>当用户对再生水水质有更高的要求时，可增加深度处理其他单元技术中的一种或几种组合。</w:t>
      </w:r>
      <w:r>
        <w:rPr>
          <w:rFonts w:hint="eastAsia"/>
          <w:sz w:val="24"/>
          <w:szCs w:val="22"/>
        </w:rPr>
        <w:t>主要</w:t>
      </w:r>
      <w:r w:rsidRPr="00C876ED">
        <w:rPr>
          <w:rFonts w:hint="eastAsia"/>
          <w:sz w:val="24"/>
          <w:szCs w:val="22"/>
        </w:rPr>
        <w:t>有：吸附、臭氧—活性炭、离子交换、超滤、纳滤，反渗透、膜生物反应器、曝气生物滤池、臭氧氧化、自然净化系统等</w:t>
      </w:r>
      <w:r>
        <w:rPr>
          <w:rFonts w:hint="eastAsia"/>
          <w:sz w:val="24"/>
          <w:szCs w:val="22"/>
        </w:rPr>
        <w:t>工艺。</w:t>
      </w:r>
    </w:p>
    <w:p w:rsidR="001133ED" w:rsidRPr="004D3B8F" w:rsidRDefault="001133ED" w:rsidP="001133ED">
      <w:pPr>
        <w:jc w:val="left"/>
        <w:rPr>
          <w:b/>
          <w:sz w:val="28"/>
        </w:rPr>
      </w:pPr>
      <w:r>
        <w:rPr>
          <w:rFonts w:hint="eastAsia"/>
          <w:b/>
          <w:sz w:val="28"/>
        </w:rPr>
        <w:t>二、</w:t>
      </w:r>
      <w:r w:rsidR="00B066BA">
        <w:rPr>
          <w:rFonts w:hint="eastAsia"/>
          <w:b/>
          <w:sz w:val="28"/>
        </w:rPr>
        <w:t>活性焦吸附工艺介绍</w:t>
      </w:r>
    </w:p>
    <w:p w:rsidR="00B066BA" w:rsidRPr="00B066BA"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sz w:val="24"/>
          <w:szCs w:val="24"/>
        </w:rPr>
        <w:t>活性焦</w:t>
      </w:r>
      <w:r w:rsidRPr="00B066BA">
        <w:rPr>
          <w:rFonts w:ascii="Times New Roman" w:eastAsia="宋体" w:hAnsi="Times New Roman" w:cs="Times New Roman"/>
          <w:sz w:val="24"/>
          <w:szCs w:val="24"/>
        </w:rPr>
        <w:t>/</w:t>
      </w:r>
      <w:r w:rsidRPr="00B066BA">
        <w:rPr>
          <w:rFonts w:ascii="Times New Roman" w:eastAsia="宋体" w:hAnsi="Times New Roman" w:cs="Times New Roman"/>
          <w:sz w:val="24"/>
          <w:szCs w:val="24"/>
        </w:rPr>
        <w:t>碳（扫描电镜图见图</w:t>
      </w:r>
      <w:r w:rsidR="0090076F">
        <w:rPr>
          <w:rFonts w:ascii="Times New Roman" w:eastAsia="宋体" w:hAnsi="Times New Roman" w:cs="Times New Roman" w:hint="eastAsia"/>
          <w:sz w:val="24"/>
          <w:szCs w:val="24"/>
        </w:rPr>
        <w:t>1</w:t>
      </w:r>
      <w:r w:rsidRPr="00B066BA">
        <w:rPr>
          <w:rFonts w:ascii="Times New Roman" w:eastAsia="宋体" w:hAnsi="Times New Roman" w:cs="Times New Roman"/>
          <w:sz w:val="24"/>
          <w:szCs w:val="24"/>
        </w:rPr>
        <w:t>）是一种常见的炭基材料，具有活性炭的特性。即</w:t>
      </w:r>
      <w:r w:rsidRPr="00B066BA">
        <w:rPr>
          <w:rFonts w:ascii="Times New Roman" w:eastAsia="宋体" w:hAnsi="Times New Roman" w:cs="Times New Roman" w:hint="eastAsia"/>
          <w:sz w:val="24"/>
          <w:szCs w:val="24"/>
        </w:rPr>
        <w:t>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碳本身既是吸附剂，又是催化剂，同时还可以用作催化剂载体。</w:t>
      </w:r>
    </w:p>
    <w:p w:rsidR="001133ED"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hint="eastAsia"/>
          <w:sz w:val="24"/>
          <w:szCs w:val="24"/>
        </w:rPr>
        <w:t>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碳实质上是一种低比表面积活性炭，其比表面积一般为</w:t>
      </w:r>
      <w:r w:rsidRPr="00B066BA">
        <w:rPr>
          <w:rFonts w:ascii="Times New Roman" w:eastAsia="宋体" w:hAnsi="Times New Roman" w:cs="Times New Roman" w:hint="eastAsia"/>
          <w:sz w:val="24"/>
          <w:szCs w:val="24"/>
        </w:rPr>
        <w:t>600~1000m2/g</w:t>
      </w:r>
      <w:r w:rsidRPr="00B066BA">
        <w:rPr>
          <w:rFonts w:ascii="Times New Roman" w:eastAsia="宋体" w:hAnsi="Times New Roman" w:cs="Times New Roman" w:hint="eastAsia"/>
          <w:sz w:val="24"/>
          <w:szCs w:val="24"/>
        </w:rPr>
        <w:t>。但是，在各种炭基吸附剂中，活性焦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碳由于具有价格相对便宜、可获得很高的脱硝效率、机械强度高、耐磨损等优点而受到关注</w:t>
      </w:r>
      <w:r w:rsidR="001133ED" w:rsidRPr="00B066BA">
        <w:rPr>
          <w:rFonts w:ascii="Times New Roman" w:eastAsia="宋体" w:hAnsi="Times New Roman" w:cs="Times New Roman" w:hint="eastAsia"/>
          <w:sz w:val="24"/>
          <w:szCs w:val="24"/>
        </w:rPr>
        <w:t>。</w:t>
      </w:r>
    </w:p>
    <w:p w:rsidR="00B066BA" w:rsidRDefault="00B066BA" w:rsidP="00B066BA">
      <w:pPr>
        <w:snapToGrid w:val="0"/>
        <w:spacing w:line="360" w:lineRule="auto"/>
        <w:ind w:firstLineChars="200" w:firstLine="420"/>
        <w:jc w:val="center"/>
        <w:rPr>
          <w:rFonts w:ascii="Times New Roman" w:eastAsia="宋体" w:hAnsi="Times New Roman" w:cs="Times New Roman"/>
          <w:sz w:val="24"/>
          <w:szCs w:val="24"/>
        </w:rPr>
      </w:pPr>
      <w:r>
        <w:rPr>
          <w:noProof/>
        </w:rPr>
        <w:drawing>
          <wp:inline distT="0" distB="0" distL="0" distR="0">
            <wp:extent cx="3277870" cy="20358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870" cy="2035810"/>
                    </a:xfrm>
                    <a:prstGeom prst="rect">
                      <a:avLst/>
                    </a:prstGeom>
                    <a:noFill/>
                    <a:ln>
                      <a:noFill/>
                    </a:ln>
                  </pic:spPr>
                </pic:pic>
              </a:graphicData>
            </a:graphic>
          </wp:inline>
        </w:drawing>
      </w:r>
    </w:p>
    <w:p w:rsidR="00B066BA" w:rsidRDefault="0090076F" w:rsidP="00B066BA">
      <w:pPr>
        <w:snapToGrid w:val="0"/>
        <w:spacing w:line="360" w:lineRule="auto"/>
        <w:ind w:firstLineChars="200" w:firstLine="480"/>
        <w:jc w:val="center"/>
        <w:rPr>
          <w:sz w:val="24"/>
        </w:rPr>
      </w:pPr>
      <w:r>
        <w:rPr>
          <w:rFonts w:hint="eastAsia"/>
          <w:sz w:val="24"/>
        </w:rPr>
        <w:t>图</w:t>
      </w:r>
      <w:r>
        <w:rPr>
          <w:rFonts w:hint="eastAsia"/>
          <w:sz w:val="24"/>
        </w:rPr>
        <w:t xml:space="preserve">1 </w:t>
      </w:r>
      <w:r w:rsidR="00B066BA" w:rsidRPr="00C876ED">
        <w:rPr>
          <w:sz w:val="24"/>
        </w:rPr>
        <w:t>活性焦</w:t>
      </w:r>
      <w:r w:rsidR="00B066BA" w:rsidRPr="00C876ED">
        <w:rPr>
          <w:sz w:val="24"/>
        </w:rPr>
        <w:t>/</w:t>
      </w:r>
      <w:r w:rsidR="00B066BA" w:rsidRPr="00C876ED">
        <w:rPr>
          <w:sz w:val="24"/>
        </w:rPr>
        <w:t>碳的扫描电镜</w:t>
      </w:r>
    </w:p>
    <w:p w:rsidR="00B066BA" w:rsidRPr="00B066BA"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hint="eastAsia"/>
          <w:sz w:val="24"/>
          <w:szCs w:val="24"/>
        </w:rPr>
        <w:t>在吸附过程中，活性焦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碳分子和污染物分子之间的作用力是范德华力（或静电引力）称为物理吸附；活性焦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碳分子和污染物分子之间的作用力是化学键时称为化学吸附。</w:t>
      </w:r>
    </w:p>
    <w:p w:rsidR="00B066BA" w:rsidRPr="00B066BA"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hint="eastAsia"/>
          <w:sz w:val="24"/>
          <w:szCs w:val="24"/>
        </w:rPr>
        <w:lastRenderedPageBreak/>
        <w:t>当污染物分子接近活性焦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碳固体表面时，首先发生物理吸附，此时污染物分子进一步接近活性焦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碳固体表面，</w:t>
      </w:r>
      <w:r w:rsidRPr="00B066BA">
        <w:rPr>
          <w:rFonts w:ascii="Times New Roman" w:eastAsia="宋体" w:hAnsi="Times New Roman" w:cs="Times New Roman"/>
          <w:sz w:val="24"/>
          <w:szCs w:val="24"/>
        </w:rPr>
        <w:t>由于电子运动的相互排斥，使</w:t>
      </w:r>
      <w:r w:rsidRPr="00B066BA">
        <w:rPr>
          <w:rFonts w:ascii="Times New Roman" w:eastAsia="宋体" w:hAnsi="Times New Roman" w:cs="Times New Roman" w:hint="eastAsia"/>
          <w:sz w:val="24"/>
          <w:szCs w:val="24"/>
        </w:rPr>
        <w:t>污染物</w:t>
      </w:r>
      <w:r w:rsidRPr="00B066BA">
        <w:rPr>
          <w:rFonts w:ascii="Times New Roman" w:eastAsia="宋体" w:hAnsi="Times New Roman" w:cs="Times New Roman"/>
          <w:sz w:val="24"/>
          <w:szCs w:val="24"/>
        </w:rPr>
        <w:t>分子的势能急剧上升</w:t>
      </w:r>
      <w:r w:rsidRPr="00B066BA">
        <w:rPr>
          <w:rFonts w:ascii="Times New Roman" w:eastAsia="宋体" w:hAnsi="Times New Roman" w:cs="Times New Roman" w:hint="eastAsia"/>
          <w:sz w:val="24"/>
          <w:szCs w:val="24"/>
        </w:rPr>
        <w:t>；当污染物</w:t>
      </w:r>
      <w:r w:rsidRPr="00B066BA">
        <w:rPr>
          <w:rFonts w:ascii="Times New Roman" w:eastAsia="宋体" w:hAnsi="Times New Roman" w:cs="Times New Roman"/>
          <w:sz w:val="24"/>
          <w:szCs w:val="24"/>
        </w:rPr>
        <w:t>分子势能上升到</w:t>
      </w:r>
      <w:r w:rsidRPr="00B066BA">
        <w:rPr>
          <w:rFonts w:ascii="Times New Roman" w:eastAsia="宋体" w:hAnsi="Times New Roman" w:cs="Times New Roman" w:hint="eastAsia"/>
          <w:sz w:val="24"/>
          <w:szCs w:val="24"/>
        </w:rPr>
        <w:t>其</w:t>
      </w:r>
      <w:r w:rsidRPr="00B066BA">
        <w:rPr>
          <w:rFonts w:ascii="Times New Roman" w:eastAsia="宋体" w:hAnsi="Times New Roman" w:cs="Times New Roman"/>
          <w:sz w:val="24"/>
          <w:szCs w:val="24"/>
        </w:rPr>
        <w:t>活化能以上</w:t>
      </w:r>
      <w:r w:rsidRPr="00B066BA">
        <w:rPr>
          <w:rFonts w:ascii="Times New Roman" w:eastAsia="宋体" w:hAnsi="Times New Roman" w:cs="Times New Roman" w:hint="eastAsia"/>
          <w:sz w:val="24"/>
          <w:szCs w:val="24"/>
        </w:rPr>
        <w:t>时</w:t>
      </w:r>
      <w:r w:rsidRPr="00B066BA">
        <w:rPr>
          <w:rFonts w:ascii="Times New Roman" w:eastAsia="宋体" w:hAnsi="Times New Roman" w:cs="Times New Roman"/>
          <w:sz w:val="24"/>
          <w:szCs w:val="24"/>
        </w:rPr>
        <w:t>，</w:t>
      </w:r>
      <w:r w:rsidRPr="00B066BA">
        <w:rPr>
          <w:rFonts w:ascii="Times New Roman" w:eastAsia="宋体" w:hAnsi="Times New Roman" w:cs="Times New Roman" w:hint="eastAsia"/>
          <w:sz w:val="24"/>
          <w:szCs w:val="24"/>
        </w:rPr>
        <w:t>就</w:t>
      </w:r>
      <w:r w:rsidRPr="00B066BA">
        <w:rPr>
          <w:rFonts w:ascii="Times New Roman" w:eastAsia="宋体" w:hAnsi="Times New Roman" w:cs="Times New Roman"/>
          <w:sz w:val="24"/>
          <w:szCs w:val="24"/>
        </w:rPr>
        <w:t>发生化学吸附。</w:t>
      </w:r>
    </w:p>
    <w:p w:rsidR="00B066BA"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hint="eastAsia"/>
          <w:sz w:val="24"/>
          <w:szCs w:val="24"/>
        </w:rPr>
        <w:t>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碳过滤是将水中悬浮状态的污染物进行截留的过程，被截留的悬浮物充塞于活性焦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碳孔道、表面、空隙间。活性焦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碳对悬浮物的截留能力的大小由活性焦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碳比表面积决定。低流速时，活性焦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碳的过滤能力主要地来自活性焦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碳的筛除作用；高流速时，活性焦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碳的过滤能力来自活性焦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碳颗粒表面的吸附作用。在过滤过程中，活性焦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碳颗粒的比表面积越大，对水中悬浮物的附着力越强</w:t>
      </w:r>
      <w:r>
        <w:rPr>
          <w:rFonts w:ascii="Times New Roman" w:eastAsia="宋体" w:hAnsi="Times New Roman" w:cs="Times New Roman" w:hint="eastAsia"/>
          <w:sz w:val="24"/>
          <w:szCs w:val="24"/>
        </w:rPr>
        <w:t>。</w:t>
      </w:r>
    </w:p>
    <w:p w:rsidR="00B066BA" w:rsidRDefault="0090076F" w:rsidP="00B066BA">
      <w:pPr>
        <w:snapToGrid w:val="0"/>
        <w:spacing w:line="360" w:lineRule="auto"/>
        <w:rPr>
          <w:b/>
          <w:sz w:val="28"/>
        </w:rPr>
      </w:pPr>
      <w:r>
        <w:rPr>
          <w:rFonts w:hint="eastAsia"/>
          <w:b/>
          <w:sz w:val="28"/>
        </w:rPr>
        <w:t>三</w:t>
      </w:r>
      <w:r w:rsidR="00B066BA">
        <w:rPr>
          <w:rFonts w:hint="eastAsia"/>
          <w:b/>
          <w:sz w:val="28"/>
        </w:rPr>
        <w:t>、目前活性焦吸附塔的主要工作流程</w:t>
      </w:r>
    </w:p>
    <w:p w:rsidR="00B066BA" w:rsidRPr="00B066BA" w:rsidRDefault="00B066BA" w:rsidP="00B066BA">
      <w:pPr>
        <w:snapToGrid w:val="0"/>
        <w:spacing w:line="360" w:lineRule="auto"/>
        <w:ind w:firstLineChars="200" w:firstLine="480"/>
        <w:rPr>
          <w:rFonts w:ascii="Times New Roman" w:eastAsia="宋体" w:hAnsi="Times New Roman" w:cs="Times New Roman"/>
          <w:sz w:val="24"/>
          <w:szCs w:val="24"/>
        </w:rPr>
      </w:pPr>
      <w:r w:rsidRPr="00B066BA">
        <w:rPr>
          <w:rFonts w:ascii="Times New Roman" w:eastAsia="宋体" w:hAnsi="Times New Roman" w:cs="Times New Roman" w:hint="eastAsia"/>
          <w:sz w:val="24"/>
          <w:szCs w:val="24"/>
        </w:rPr>
        <w:t>流动床颗粒活性焦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碳吸附塔主体是由罐体和内部构件组成。吸附塔罐体采用标准的建筑用不锈钢、碳钢或玻璃钢制造，通过法兰连接进水、出水和清洗用水。内部构件包括进水管、布水器、颗粒活性焦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碳提升装置、颗粒活性焦</w:t>
      </w:r>
      <w:r w:rsidRPr="00B066BA">
        <w:rPr>
          <w:rFonts w:ascii="Times New Roman" w:eastAsia="宋体" w:hAnsi="Times New Roman" w:cs="Times New Roman" w:hint="eastAsia"/>
          <w:sz w:val="24"/>
          <w:szCs w:val="24"/>
        </w:rPr>
        <w:t>/</w:t>
      </w:r>
      <w:r w:rsidRPr="00B066BA">
        <w:rPr>
          <w:rFonts w:ascii="Times New Roman" w:eastAsia="宋体" w:hAnsi="Times New Roman" w:cs="Times New Roman" w:hint="eastAsia"/>
          <w:sz w:val="24"/>
          <w:szCs w:val="24"/>
        </w:rPr>
        <w:t>碳清洗装置等（如图</w:t>
      </w:r>
      <w:r w:rsidRPr="00B066BA">
        <w:rPr>
          <w:rFonts w:ascii="Times New Roman" w:eastAsia="宋体" w:hAnsi="Times New Roman" w:cs="Times New Roman" w:hint="eastAsia"/>
          <w:sz w:val="24"/>
          <w:szCs w:val="24"/>
        </w:rPr>
        <w:t>2</w:t>
      </w:r>
      <w:r w:rsidRPr="00B066BA">
        <w:rPr>
          <w:rFonts w:ascii="Times New Roman" w:eastAsia="宋体" w:hAnsi="Times New Roman" w:cs="Times New Roman" w:hint="eastAsia"/>
          <w:sz w:val="24"/>
          <w:szCs w:val="24"/>
        </w:rPr>
        <w:t>所示）。</w:t>
      </w:r>
    </w:p>
    <w:p w:rsidR="00B066BA" w:rsidRPr="00C876ED" w:rsidRDefault="00B066BA" w:rsidP="00B066BA">
      <w:pPr>
        <w:adjustRightInd w:val="0"/>
        <w:snapToGrid w:val="0"/>
        <w:spacing w:line="360" w:lineRule="auto"/>
        <w:ind w:firstLineChars="200" w:firstLine="420"/>
        <w:jc w:val="center"/>
        <w:rPr>
          <w:rFonts w:ascii="宋体" w:hAnsi="宋体" w:cs="宋体"/>
        </w:rPr>
      </w:pPr>
      <w:r>
        <w:rPr>
          <w:noProof/>
        </w:rPr>
        <w:drawing>
          <wp:inline distT="0" distB="0" distL="0" distR="0">
            <wp:extent cx="2786380" cy="4071620"/>
            <wp:effectExtent l="0" t="0" r="0" b="5080"/>
            <wp:docPr id="3" name="图片 3" descr="新图片(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图片(4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47"/>
                    <a:stretch>
                      <a:fillRect/>
                    </a:stretch>
                  </pic:blipFill>
                  <pic:spPr bwMode="auto">
                    <a:xfrm>
                      <a:off x="0" y="0"/>
                      <a:ext cx="2786380" cy="4071620"/>
                    </a:xfrm>
                    <a:prstGeom prst="rect">
                      <a:avLst/>
                    </a:prstGeom>
                    <a:noFill/>
                    <a:ln>
                      <a:noFill/>
                    </a:ln>
                  </pic:spPr>
                </pic:pic>
              </a:graphicData>
            </a:graphic>
          </wp:inline>
        </w:drawing>
      </w:r>
    </w:p>
    <w:p w:rsidR="00B066BA" w:rsidRPr="0090076F" w:rsidRDefault="00B066BA" w:rsidP="00B066BA">
      <w:pPr>
        <w:adjustRightInd w:val="0"/>
        <w:snapToGrid w:val="0"/>
        <w:spacing w:line="360" w:lineRule="auto"/>
        <w:jc w:val="center"/>
        <w:rPr>
          <w:rFonts w:ascii="Times New Roman" w:eastAsia="宋体" w:hAnsi="Times New Roman" w:cs="Times New Roman"/>
          <w:sz w:val="24"/>
          <w:szCs w:val="24"/>
        </w:rPr>
      </w:pPr>
      <w:r w:rsidRPr="0090076F">
        <w:rPr>
          <w:rFonts w:ascii="Times New Roman" w:eastAsia="宋体" w:hAnsi="Times New Roman" w:cs="Times New Roman"/>
          <w:sz w:val="24"/>
          <w:szCs w:val="24"/>
        </w:rPr>
        <w:t>图</w:t>
      </w:r>
      <w:r w:rsidR="0090076F" w:rsidRPr="0090076F">
        <w:rPr>
          <w:rFonts w:ascii="Times New Roman" w:eastAsia="宋体" w:hAnsi="Times New Roman" w:cs="Times New Roman" w:hint="eastAsia"/>
          <w:sz w:val="24"/>
          <w:szCs w:val="24"/>
        </w:rPr>
        <w:t>2</w:t>
      </w:r>
      <w:r w:rsidRPr="0090076F">
        <w:rPr>
          <w:rFonts w:ascii="Times New Roman" w:eastAsia="宋体" w:hAnsi="Times New Roman" w:cs="Times New Roman" w:hint="eastAsia"/>
          <w:sz w:val="24"/>
          <w:szCs w:val="24"/>
        </w:rPr>
        <w:t>流动床颗粒活性焦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w:t>
      </w:r>
      <w:r w:rsidRPr="0090076F">
        <w:rPr>
          <w:rFonts w:ascii="Times New Roman" w:eastAsia="宋体" w:hAnsi="Times New Roman" w:cs="Times New Roman"/>
          <w:sz w:val="24"/>
          <w:szCs w:val="24"/>
        </w:rPr>
        <w:t>结构图</w:t>
      </w:r>
    </w:p>
    <w:p w:rsidR="00B066BA" w:rsidRPr="0090076F" w:rsidRDefault="00B066BA" w:rsidP="0090076F">
      <w:pPr>
        <w:adjustRightInd w:val="0"/>
        <w:snapToGrid w:val="0"/>
        <w:spacing w:line="360" w:lineRule="auto"/>
        <w:ind w:firstLineChars="200" w:firstLine="480"/>
        <w:rPr>
          <w:rFonts w:ascii="Times New Roman" w:eastAsia="宋体" w:hAnsi="Times New Roman" w:cs="Times New Roman"/>
          <w:sz w:val="24"/>
          <w:szCs w:val="24"/>
        </w:rPr>
      </w:pPr>
      <w:r w:rsidRPr="0090076F">
        <w:rPr>
          <w:rFonts w:ascii="Times New Roman" w:eastAsia="宋体" w:hAnsi="Times New Roman" w:cs="Times New Roman" w:hint="eastAsia"/>
          <w:sz w:val="24"/>
          <w:szCs w:val="24"/>
        </w:rPr>
        <w:t>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碳③装入罐体①中至适当的位置，使用污水提升泵将需要进行处理</w:t>
      </w:r>
      <w:r w:rsidRPr="0090076F">
        <w:rPr>
          <w:rFonts w:ascii="Times New Roman" w:eastAsia="宋体" w:hAnsi="Times New Roman" w:cs="Times New Roman" w:hint="eastAsia"/>
          <w:sz w:val="24"/>
          <w:szCs w:val="24"/>
        </w:rPr>
        <w:lastRenderedPageBreak/>
        <w:t>的废水通过进水口④打入到罐体内的布水器⑤，废水在布水器的作用下，均匀流过活性焦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碳③填充层，在溢流堰⑥的调节下，水均匀流入到出水口⑦排出，完成吸附的过程。在吸附的过程中，在压缩空气接口⑧通入压缩空气进行活性焦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碳的提升，打开活性焦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碳反冲洗阀门⑨，将活性焦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碳打入反冲洗装置进行清洗。清洗后产生的污水由反冲排污口</w:t>
      </w:r>
      <w:r w:rsidRPr="0090076F">
        <w:rPr>
          <w:rFonts w:ascii="Times New Roman" w:eastAsia="宋体" w:hAnsi="Times New Roman" w:cs="Times New Roman"/>
          <w:sz w:val="24"/>
          <w:szCs w:val="24"/>
        </w:rPr>
        <w:t>⑫</w:t>
      </w:r>
      <w:r w:rsidRPr="0090076F">
        <w:rPr>
          <w:rFonts w:ascii="Times New Roman" w:eastAsia="宋体" w:hAnsi="Times New Roman" w:cs="Times New Roman" w:hint="eastAsia"/>
          <w:sz w:val="24"/>
          <w:szCs w:val="24"/>
        </w:rPr>
        <w:t>排出。当活性焦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碳吸附饱和后，在压缩空气接口⑧通入压缩空气进行活性焦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碳的提升，打开废料排料阀门⑩，将废料排出进行后续的处理。在需要对流动床活性焦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碳吸附塔进行维护时，打开卸料口</w:t>
      </w:r>
      <w:r w:rsidRPr="0090076F">
        <w:rPr>
          <w:rFonts w:ascii="Times New Roman" w:eastAsia="宋体" w:hAnsi="Times New Roman" w:cs="Times New Roman"/>
          <w:sz w:val="24"/>
          <w:szCs w:val="24"/>
        </w:rPr>
        <w:t>⑬</w:t>
      </w:r>
      <w:r w:rsidRPr="0090076F">
        <w:rPr>
          <w:rFonts w:ascii="Times New Roman" w:eastAsia="宋体" w:hAnsi="Times New Roman" w:cs="Times New Roman" w:hint="eastAsia"/>
          <w:sz w:val="24"/>
          <w:szCs w:val="24"/>
        </w:rPr>
        <w:t>排出残留的废料，通过放空口</w:t>
      </w:r>
      <w:r w:rsidRPr="0090076F">
        <w:rPr>
          <w:rFonts w:ascii="Times New Roman" w:eastAsia="宋体" w:hAnsi="Times New Roman" w:cs="Times New Roman"/>
          <w:sz w:val="24"/>
          <w:szCs w:val="24"/>
        </w:rPr>
        <w:t>⑭</w:t>
      </w:r>
      <w:r w:rsidRPr="0090076F">
        <w:rPr>
          <w:rFonts w:ascii="Times New Roman" w:eastAsia="宋体" w:hAnsi="Times New Roman" w:cs="Times New Roman" w:hint="eastAsia"/>
          <w:sz w:val="24"/>
          <w:szCs w:val="24"/>
        </w:rPr>
        <w:t>排出吸附塔内的废水。</w:t>
      </w:r>
    </w:p>
    <w:p w:rsidR="00B066BA" w:rsidRPr="0090076F" w:rsidRDefault="00B066BA" w:rsidP="0090076F">
      <w:pPr>
        <w:adjustRightInd w:val="0"/>
        <w:snapToGrid w:val="0"/>
        <w:spacing w:line="360" w:lineRule="auto"/>
        <w:ind w:firstLineChars="200" w:firstLine="480"/>
        <w:rPr>
          <w:rFonts w:ascii="Times New Roman" w:eastAsia="宋体" w:hAnsi="Times New Roman" w:cs="Times New Roman"/>
          <w:sz w:val="24"/>
          <w:szCs w:val="24"/>
        </w:rPr>
      </w:pPr>
      <w:r w:rsidRPr="0090076F">
        <w:rPr>
          <w:rFonts w:ascii="Times New Roman" w:eastAsia="宋体" w:hAnsi="Times New Roman" w:cs="Times New Roman" w:hint="eastAsia"/>
          <w:sz w:val="24"/>
          <w:szCs w:val="24"/>
        </w:rPr>
        <w:t>流动床颗粒活性焦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碳吸附塔可单级或多级过滤，根据过滤水量的需求选择单台运行或多台并联运行（如图</w:t>
      </w:r>
      <w:r w:rsidRPr="0090076F">
        <w:rPr>
          <w:rFonts w:ascii="Times New Roman" w:eastAsia="宋体" w:hAnsi="Times New Roman" w:cs="Times New Roman" w:hint="eastAsia"/>
          <w:sz w:val="24"/>
          <w:szCs w:val="24"/>
        </w:rPr>
        <w:t>3</w:t>
      </w:r>
      <w:r w:rsidRPr="0090076F">
        <w:rPr>
          <w:rFonts w:ascii="Times New Roman" w:eastAsia="宋体" w:hAnsi="Times New Roman" w:cs="Times New Roman" w:hint="eastAsia"/>
          <w:sz w:val="24"/>
          <w:szCs w:val="24"/>
        </w:rPr>
        <w:t>所示）。</w:t>
      </w:r>
    </w:p>
    <w:p w:rsidR="00B066BA" w:rsidRPr="00C876ED" w:rsidRDefault="00B066BA" w:rsidP="00B066BA">
      <w:pPr>
        <w:adjustRightInd w:val="0"/>
        <w:snapToGrid w:val="0"/>
        <w:spacing w:line="360" w:lineRule="auto"/>
        <w:ind w:firstLineChars="200" w:firstLine="420"/>
      </w:pPr>
      <w:r>
        <w:rPr>
          <w:noProof/>
        </w:rPr>
        <w:drawing>
          <wp:anchor distT="0" distB="0" distL="114300" distR="114300" simplePos="0" relativeHeight="251659264" behindDoc="0" locked="0" layoutInCell="1" allowOverlap="1">
            <wp:simplePos x="0" y="0"/>
            <wp:positionH relativeFrom="column">
              <wp:posOffset>175895</wp:posOffset>
            </wp:positionH>
            <wp:positionV relativeFrom="paragraph">
              <wp:posOffset>94615</wp:posOffset>
            </wp:positionV>
            <wp:extent cx="5200650" cy="3638550"/>
            <wp:effectExtent l="0" t="0" r="0" b="0"/>
            <wp:wrapNone/>
            <wp:docPr id="4" name="图片 4" descr="吸附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吸附塔"/>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3638550"/>
                    </a:xfrm>
                    <a:prstGeom prst="rect">
                      <a:avLst/>
                    </a:prstGeom>
                    <a:noFill/>
                    <a:ln>
                      <a:noFill/>
                    </a:ln>
                  </pic:spPr>
                </pic:pic>
              </a:graphicData>
            </a:graphic>
          </wp:anchor>
        </w:drawing>
      </w: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spacing w:line="360" w:lineRule="auto"/>
        <w:ind w:firstLineChars="200" w:firstLine="420"/>
      </w:pPr>
    </w:p>
    <w:p w:rsidR="00B066BA" w:rsidRPr="00C876ED" w:rsidRDefault="00B066BA" w:rsidP="00B066BA">
      <w:pPr>
        <w:adjustRightInd w:val="0"/>
        <w:snapToGrid w:val="0"/>
        <w:jc w:val="center"/>
      </w:pPr>
    </w:p>
    <w:p w:rsidR="00B066BA" w:rsidRPr="00C876ED" w:rsidRDefault="00B066BA" w:rsidP="00B066BA">
      <w:pPr>
        <w:adjustRightInd w:val="0"/>
        <w:snapToGrid w:val="0"/>
        <w:spacing w:line="360" w:lineRule="auto"/>
        <w:jc w:val="center"/>
      </w:pPr>
      <w:r w:rsidRPr="00C876ED">
        <w:rPr>
          <w:rFonts w:hint="eastAsia"/>
        </w:rPr>
        <w:t>图</w:t>
      </w:r>
      <w:r w:rsidRPr="00C876ED">
        <w:rPr>
          <w:rFonts w:hint="eastAsia"/>
        </w:rPr>
        <w:t xml:space="preserve">6-3  </w:t>
      </w:r>
      <w:r w:rsidRPr="00C876ED">
        <w:rPr>
          <w:rFonts w:hint="eastAsia"/>
        </w:rPr>
        <w:t>多级流动床活性焦</w:t>
      </w:r>
      <w:r w:rsidRPr="00C876ED">
        <w:rPr>
          <w:rFonts w:hint="eastAsia"/>
        </w:rPr>
        <w:t>/</w:t>
      </w:r>
      <w:r w:rsidRPr="00C876ED">
        <w:rPr>
          <w:rFonts w:hint="eastAsia"/>
        </w:rPr>
        <w:t>碳吸附塔并联运行图示</w:t>
      </w:r>
    </w:p>
    <w:p w:rsidR="0090076F" w:rsidRPr="0090076F" w:rsidRDefault="0090076F" w:rsidP="0090076F">
      <w:pPr>
        <w:adjustRightInd w:val="0"/>
        <w:snapToGrid w:val="0"/>
        <w:spacing w:line="360" w:lineRule="auto"/>
        <w:ind w:firstLineChars="200" w:firstLine="480"/>
        <w:jc w:val="center"/>
        <w:rPr>
          <w:rFonts w:ascii="Times New Roman" w:eastAsia="宋体" w:hAnsi="Times New Roman" w:cs="Times New Roman"/>
          <w:sz w:val="24"/>
          <w:szCs w:val="24"/>
        </w:rPr>
      </w:pPr>
      <w:r w:rsidRPr="0090076F">
        <w:rPr>
          <w:rFonts w:ascii="Times New Roman" w:eastAsia="宋体" w:hAnsi="Times New Roman" w:cs="Times New Roman" w:hint="eastAsia"/>
          <w:sz w:val="24"/>
          <w:szCs w:val="24"/>
        </w:rPr>
        <w:t>图</w:t>
      </w:r>
      <w:r w:rsidRPr="0090076F">
        <w:rPr>
          <w:rFonts w:ascii="Times New Roman" w:eastAsia="宋体" w:hAnsi="Times New Roman" w:cs="Times New Roman" w:hint="eastAsia"/>
          <w:sz w:val="24"/>
          <w:szCs w:val="24"/>
        </w:rPr>
        <w:t xml:space="preserve">3  </w:t>
      </w:r>
      <w:r w:rsidRPr="0090076F">
        <w:rPr>
          <w:rFonts w:ascii="Times New Roman" w:eastAsia="宋体" w:hAnsi="Times New Roman" w:cs="Times New Roman" w:hint="eastAsia"/>
          <w:sz w:val="24"/>
          <w:szCs w:val="24"/>
        </w:rPr>
        <w:t>多级流动床活性焦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碳吸附塔并联运行图示</w:t>
      </w:r>
    </w:p>
    <w:p w:rsidR="00B066BA" w:rsidRPr="0090076F" w:rsidRDefault="00B066BA" w:rsidP="0090076F">
      <w:pPr>
        <w:adjustRightInd w:val="0"/>
        <w:snapToGrid w:val="0"/>
        <w:spacing w:line="360" w:lineRule="auto"/>
        <w:ind w:firstLineChars="200" w:firstLine="480"/>
        <w:rPr>
          <w:rFonts w:ascii="Times New Roman" w:eastAsia="宋体" w:hAnsi="Times New Roman" w:cs="Times New Roman"/>
          <w:sz w:val="24"/>
          <w:szCs w:val="24"/>
        </w:rPr>
      </w:pPr>
      <w:r w:rsidRPr="0090076F">
        <w:rPr>
          <w:rFonts w:ascii="Times New Roman" w:eastAsia="宋体" w:hAnsi="Times New Roman" w:cs="Times New Roman" w:hint="eastAsia"/>
          <w:sz w:val="24"/>
          <w:szCs w:val="24"/>
        </w:rPr>
        <w:t>如图</w:t>
      </w:r>
      <w:r w:rsidRPr="0090076F">
        <w:rPr>
          <w:rFonts w:ascii="Times New Roman" w:eastAsia="宋体" w:hAnsi="Times New Roman" w:cs="Times New Roman" w:hint="eastAsia"/>
          <w:sz w:val="24"/>
          <w:szCs w:val="24"/>
        </w:rPr>
        <w:t>6-4</w:t>
      </w:r>
      <w:r w:rsidRPr="0090076F">
        <w:rPr>
          <w:rFonts w:ascii="Times New Roman" w:eastAsia="宋体" w:hAnsi="Times New Roman" w:cs="Times New Roman" w:hint="eastAsia"/>
          <w:sz w:val="24"/>
          <w:szCs w:val="24"/>
        </w:rPr>
        <w:t>所示，多级流动床颗粒活性焦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由第一级吸附塔①，第二级吸附塔②，第三级吸附塔③，第四级吸附塔④组成，使用污水提升泵将需要进行处理的废水通过第一级吸附塔进水口⑤打入到罐体内，第一级吸附塔出水从出水口⑥自流到第二级吸附塔进水口⑦，第二级吸附塔出水从出水口⑧自流到第三级吸附塔进水口⑨，第三级吸附塔出水从出水口⑩自流到第四级吸附塔进水口⑪，第四级吸附塔出水从出水口⑫自流到下一级的处理工艺或者达标排放。在颗粒活</w:t>
      </w:r>
      <w:r w:rsidRPr="0090076F">
        <w:rPr>
          <w:rFonts w:ascii="Times New Roman" w:eastAsia="宋体" w:hAnsi="Times New Roman" w:cs="Times New Roman" w:hint="eastAsia"/>
          <w:sz w:val="24"/>
          <w:szCs w:val="24"/>
        </w:rPr>
        <w:lastRenderedPageBreak/>
        <w:t>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碳吸附的过程中，第一级吸附的饱和速度最快，第四级的吸附饱和速度最慢。当第一级颗粒活性焦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碳吸附饱和后，使用流动床颗粒活性焦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碳提升装置从提升口⑬，并经过出口管路⑭提出做下道工艺的处理，依次将第二级吸附塔内的颗粒活性焦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碳从提升口⑮提升到第一级吸附塔进口⑯，第三级吸附塔内的颗粒活性焦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碳从提升口⑰提升到第二级吸附塔进口⑱，第四级吸附塔内的颗粒活性焦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碳从提升口⑲提升到第三级吸附塔进口⑳，并在第四级加入新的颗粒活性焦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w:t>
      </w:r>
    </w:p>
    <w:p w:rsidR="00B066BA" w:rsidRDefault="00B066BA" w:rsidP="0090076F">
      <w:pPr>
        <w:snapToGrid w:val="0"/>
        <w:spacing w:line="360" w:lineRule="auto"/>
        <w:jc w:val="center"/>
        <w:rPr>
          <w:rFonts w:ascii="Times New Roman" w:eastAsia="宋体" w:hAnsi="Times New Roman" w:cs="Times New Roman"/>
          <w:sz w:val="24"/>
          <w:szCs w:val="24"/>
        </w:rPr>
      </w:pPr>
      <w:r>
        <w:rPr>
          <w:noProof/>
        </w:rPr>
        <w:drawing>
          <wp:inline distT="0" distB="0" distL="0" distR="0">
            <wp:extent cx="5322570" cy="4252595"/>
            <wp:effectExtent l="0" t="0" r="0" b="0"/>
            <wp:docPr id="2" name="图片 2" descr="多级流动床颗粒活性焦吸附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多级流动床颗粒活性焦吸附塔"/>
                    <pic:cNvPicPr>
                      <a:picLocks noChangeAspect="1" noChangeArrowheads="1"/>
                    </pic:cNvPicPr>
                  </pic:nvPicPr>
                  <pic:blipFill>
                    <a:blip r:embed="rId10">
                      <a:clrChange>
                        <a:clrFrom>
                          <a:srgbClr val="F9F9F9"/>
                        </a:clrFrom>
                        <a:clrTo>
                          <a:srgbClr val="F9F9F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2570" cy="4252595"/>
                    </a:xfrm>
                    <a:prstGeom prst="rect">
                      <a:avLst/>
                    </a:prstGeom>
                    <a:noFill/>
                    <a:ln>
                      <a:noFill/>
                    </a:ln>
                  </pic:spPr>
                </pic:pic>
              </a:graphicData>
            </a:graphic>
          </wp:inline>
        </w:drawing>
      </w:r>
      <w:r w:rsidRPr="0090076F">
        <w:rPr>
          <w:rFonts w:ascii="Times New Roman" w:eastAsia="宋体" w:hAnsi="Times New Roman" w:cs="Times New Roman" w:hint="eastAsia"/>
          <w:sz w:val="24"/>
          <w:szCs w:val="24"/>
        </w:rPr>
        <w:t>图</w:t>
      </w:r>
      <w:r w:rsidRPr="0090076F">
        <w:rPr>
          <w:rFonts w:ascii="Times New Roman" w:eastAsia="宋体" w:hAnsi="Times New Roman" w:cs="Times New Roman" w:hint="eastAsia"/>
          <w:sz w:val="24"/>
          <w:szCs w:val="24"/>
        </w:rPr>
        <w:t xml:space="preserve">4  </w:t>
      </w:r>
      <w:r w:rsidRPr="0090076F">
        <w:rPr>
          <w:rFonts w:ascii="Times New Roman" w:eastAsia="宋体" w:hAnsi="Times New Roman" w:cs="Times New Roman" w:hint="eastAsia"/>
          <w:sz w:val="24"/>
          <w:szCs w:val="24"/>
        </w:rPr>
        <w:t>多级流动床活性焦</w:t>
      </w:r>
      <w:r w:rsidRPr="0090076F">
        <w:rPr>
          <w:rFonts w:ascii="Times New Roman" w:eastAsia="宋体" w:hAnsi="Times New Roman" w:cs="Times New Roman" w:hint="eastAsia"/>
          <w:sz w:val="24"/>
          <w:szCs w:val="24"/>
        </w:rPr>
        <w:t>/</w:t>
      </w:r>
      <w:r w:rsidRPr="0090076F">
        <w:rPr>
          <w:rFonts w:ascii="Times New Roman" w:eastAsia="宋体" w:hAnsi="Times New Roman" w:cs="Times New Roman" w:hint="eastAsia"/>
          <w:sz w:val="24"/>
          <w:szCs w:val="24"/>
        </w:rPr>
        <w:t>碳吸附塔吸附工艺流程图</w:t>
      </w:r>
    </w:p>
    <w:p w:rsidR="0090076F" w:rsidRPr="00B066BA" w:rsidRDefault="0090076F" w:rsidP="0090076F">
      <w:pPr>
        <w:snapToGrid w:val="0"/>
        <w:spacing w:line="360" w:lineRule="auto"/>
        <w:jc w:val="center"/>
        <w:rPr>
          <w:rFonts w:ascii="Times New Roman" w:eastAsia="宋体" w:hAnsi="Times New Roman" w:cs="Times New Roman"/>
          <w:sz w:val="24"/>
          <w:szCs w:val="24"/>
        </w:rPr>
      </w:pPr>
    </w:p>
    <w:p w:rsidR="004D3B8F" w:rsidRPr="004D3B8F" w:rsidRDefault="0090076F" w:rsidP="004D3B8F">
      <w:pPr>
        <w:jc w:val="left"/>
        <w:rPr>
          <w:b/>
          <w:sz w:val="28"/>
        </w:rPr>
      </w:pPr>
      <w:r>
        <w:rPr>
          <w:rFonts w:hint="eastAsia"/>
          <w:b/>
          <w:sz w:val="28"/>
        </w:rPr>
        <w:t>四</w:t>
      </w:r>
      <w:r w:rsidR="004D3B8F">
        <w:rPr>
          <w:rFonts w:hint="eastAsia"/>
          <w:b/>
          <w:sz w:val="28"/>
        </w:rPr>
        <w:t>、</w:t>
      </w:r>
      <w:r>
        <w:rPr>
          <w:rFonts w:hint="eastAsia"/>
          <w:b/>
          <w:sz w:val="28"/>
        </w:rPr>
        <w:t>目前面临的主要问题</w:t>
      </w:r>
    </w:p>
    <w:p w:rsidR="004D3B8F" w:rsidRDefault="004D3B8F" w:rsidP="004D3B8F">
      <w:pPr>
        <w:spacing w:line="360" w:lineRule="auto"/>
        <w:rPr>
          <w:rFonts w:ascii="Times New Roman" w:eastAsia="宋体" w:hAnsi="Times New Roman" w:cs="Times New Roman"/>
          <w:b/>
          <w:sz w:val="24"/>
          <w:szCs w:val="24"/>
        </w:rPr>
      </w:pPr>
      <w:r w:rsidRPr="004D3B8F">
        <w:rPr>
          <w:rFonts w:ascii="Times New Roman" w:eastAsia="宋体" w:hAnsi="Times New Roman" w:cs="Times New Roman" w:hint="eastAsia"/>
          <w:b/>
          <w:sz w:val="24"/>
          <w:szCs w:val="24"/>
        </w:rPr>
        <w:t>1</w:t>
      </w:r>
      <w:r w:rsidRPr="004D3B8F">
        <w:rPr>
          <w:rFonts w:ascii="Times New Roman" w:eastAsia="宋体" w:hAnsi="Times New Roman" w:cs="Times New Roman" w:hint="eastAsia"/>
          <w:b/>
          <w:sz w:val="24"/>
          <w:szCs w:val="24"/>
        </w:rPr>
        <w:t>、</w:t>
      </w:r>
      <w:r w:rsidR="00A04EBA">
        <w:rPr>
          <w:rFonts w:ascii="Times New Roman" w:eastAsia="宋体" w:hAnsi="Times New Roman" w:cs="Times New Roman" w:hint="eastAsia"/>
          <w:b/>
          <w:sz w:val="24"/>
          <w:szCs w:val="24"/>
        </w:rPr>
        <w:t>单塔高度与直径比值过大</w:t>
      </w:r>
    </w:p>
    <w:p w:rsidR="008664A9" w:rsidRDefault="008664A9" w:rsidP="00460A2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目前，吸附工艺为了提高材料的吸附能力，其吸附塔直径均较小，高度较高。这样，单个塔面积有限，组合布置浪费土地面积。</w:t>
      </w:r>
    </w:p>
    <w:p w:rsidR="008664A9" w:rsidRDefault="008664A9" w:rsidP="008664A9">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sidRPr="004D3B8F">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单塔处理能力较低</w:t>
      </w:r>
    </w:p>
    <w:p w:rsidR="008664A9" w:rsidRDefault="008664A9" w:rsidP="00460A2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考虑到配水均匀性，避免焦板结，单塔截面面积有限，导致单塔处理能力较</w:t>
      </w:r>
      <w:r>
        <w:rPr>
          <w:rFonts w:ascii="Times New Roman" w:eastAsia="宋体" w:hAnsi="Times New Roman" w:cs="Times New Roman" w:hint="eastAsia"/>
          <w:sz w:val="24"/>
          <w:szCs w:val="24"/>
        </w:rPr>
        <w:lastRenderedPageBreak/>
        <w:t>低，应用于大规模市政工程，造成塔体数量较多，各种阀门较多，故障率有提高的隐患。</w:t>
      </w:r>
    </w:p>
    <w:p w:rsidR="008664A9" w:rsidRPr="004D3B8F" w:rsidRDefault="008664A9" w:rsidP="008664A9">
      <w:pPr>
        <w:jc w:val="left"/>
        <w:rPr>
          <w:b/>
          <w:sz w:val="28"/>
        </w:rPr>
      </w:pPr>
      <w:r>
        <w:rPr>
          <w:rFonts w:hint="eastAsia"/>
          <w:b/>
          <w:sz w:val="28"/>
        </w:rPr>
        <w:t>五、</w:t>
      </w:r>
      <w:r w:rsidR="00206724">
        <w:rPr>
          <w:rFonts w:hint="eastAsia"/>
          <w:b/>
          <w:sz w:val="28"/>
        </w:rPr>
        <w:t>相关设计资料</w:t>
      </w:r>
    </w:p>
    <w:p w:rsidR="00A04EBA" w:rsidRPr="008664A9" w:rsidRDefault="00EA0AC9" w:rsidP="004D3B8F">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1</w:t>
      </w:r>
      <w:r>
        <w:rPr>
          <w:rFonts w:ascii="Times New Roman" w:eastAsia="宋体" w:hAnsi="Times New Roman" w:cs="Times New Roman" w:hint="eastAsia"/>
          <w:b/>
          <w:sz w:val="24"/>
          <w:szCs w:val="24"/>
        </w:rPr>
        <w:t>、处理规模</w:t>
      </w:r>
    </w:p>
    <w:p w:rsidR="00EA0AC9" w:rsidRPr="00BB6334" w:rsidRDefault="00EA0AC9" w:rsidP="00EA0AC9">
      <w:pPr>
        <w:spacing w:line="360" w:lineRule="auto"/>
        <w:ind w:firstLineChars="200" w:firstLine="480"/>
        <w:rPr>
          <w:rFonts w:ascii="Times New Roman" w:eastAsia="宋体" w:hAnsi="Times New Roman" w:cs="Times New Roman"/>
          <w:b/>
          <w:sz w:val="24"/>
          <w:szCs w:val="24"/>
        </w:rPr>
      </w:pP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万吨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日。</w:t>
      </w:r>
    </w:p>
    <w:p w:rsidR="004D3B8F" w:rsidRDefault="00EA0AC9" w:rsidP="004D3B8F">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sidR="001133ED">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进出水要求</w:t>
      </w:r>
    </w:p>
    <w:p w:rsidR="00EA0AC9" w:rsidRDefault="00EA0AC9" w:rsidP="005F0E0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本工程在活性焦吸附段之前设计有气浮除磷池，活性焦进出水水质如下</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1461"/>
        <w:gridCol w:w="927"/>
        <w:gridCol w:w="1200"/>
        <w:gridCol w:w="1494"/>
      </w:tblGrid>
      <w:tr w:rsidR="00EA0AC9" w:rsidRPr="00C876ED" w:rsidTr="003A19A9">
        <w:trPr>
          <w:trHeight w:val="454"/>
          <w:jc w:val="center"/>
        </w:trPr>
        <w:tc>
          <w:tcPr>
            <w:tcW w:w="1461"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项目</w:t>
            </w:r>
          </w:p>
        </w:tc>
        <w:tc>
          <w:tcPr>
            <w:tcW w:w="927"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单位</w:t>
            </w:r>
          </w:p>
        </w:tc>
        <w:tc>
          <w:tcPr>
            <w:tcW w:w="1200"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进水指标</w:t>
            </w:r>
          </w:p>
        </w:tc>
        <w:tc>
          <w:tcPr>
            <w:tcW w:w="1494"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本工程出水</w:t>
            </w:r>
          </w:p>
        </w:tc>
      </w:tr>
      <w:tr w:rsidR="00EA0AC9" w:rsidRPr="00C876ED" w:rsidTr="003A19A9">
        <w:trPr>
          <w:trHeight w:val="454"/>
          <w:jc w:val="center"/>
        </w:trPr>
        <w:tc>
          <w:tcPr>
            <w:tcW w:w="1461"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COD</w:t>
            </w:r>
            <w:r w:rsidRPr="00C876ED">
              <w:rPr>
                <w:rFonts w:hint="eastAsia"/>
                <w:vertAlign w:val="subscript"/>
                <w:lang w:val="en-US" w:eastAsia="zh-CN"/>
              </w:rPr>
              <w:t>Cr</w:t>
            </w:r>
          </w:p>
        </w:tc>
        <w:tc>
          <w:tcPr>
            <w:tcW w:w="927"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mg/L</w:t>
            </w:r>
          </w:p>
        </w:tc>
        <w:tc>
          <w:tcPr>
            <w:tcW w:w="1200"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50</w:t>
            </w:r>
          </w:p>
        </w:tc>
        <w:tc>
          <w:tcPr>
            <w:tcW w:w="1494" w:type="dxa"/>
            <w:shd w:val="clear" w:color="auto" w:fill="auto"/>
            <w:vAlign w:val="center"/>
          </w:tcPr>
          <w:p w:rsidR="00EA0AC9" w:rsidRPr="00C876ED" w:rsidRDefault="00EA0AC9" w:rsidP="003A19A9">
            <w:pPr>
              <w:pStyle w:val="a7"/>
              <w:rPr>
                <w:b/>
                <w:lang w:val="en-US" w:eastAsia="zh-CN"/>
              </w:rPr>
            </w:pPr>
            <w:r>
              <w:rPr>
                <w:rFonts w:hint="eastAsia"/>
                <w:b/>
                <w:lang w:val="en-US" w:eastAsia="zh-CN"/>
              </w:rPr>
              <w:t>30</w:t>
            </w:r>
          </w:p>
        </w:tc>
      </w:tr>
      <w:tr w:rsidR="00EA0AC9" w:rsidRPr="00C876ED" w:rsidTr="003A19A9">
        <w:trPr>
          <w:trHeight w:val="454"/>
          <w:jc w:val="center"/>
        </w:trPr>
        <w:tc>
          <w:tcPr>
            <w:tcW w:w="1461"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SS</w:t>
            </w:r>
          </w:p>
        </w:tc>
        <w:tc>
          <w:tcPr>
            <w:tcW w:w="927"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mg/L</w:t>
            </w:r>
          </w:p>
        </w:tc>
        <w:tc>
          <w:tcPr>
            <w:tcW w:w="1200"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15</w:t>
            </w:r>
          </w:p>
        </w:tc>
        <w:tc>
          <w:tcPr>
            <w:tcW w:w="1494" w:type="dxa"/>
            <w:shd w:val="clear" w:color="auto" w:fill="auto"/>
            <w:vAlign w:val="center"/>
          </w:tcPr>
          <w:p w:rsidR="00EA0AC9" w:rsidRPr="00C876ED" w:rsidRDefault="00EA0AC9" w:rsidP="003A19A9">
            <w:pPr>
              <w:pStyle w:val="a7"/>
              <w:rPr>
                <w:lang w:val="en-US" w:eastAsia="zh-CN"/>
              </w:rPr>
            </w:pPr>
            <w:r w:rsidRPr="00C876ED">
              <w:rPr>
                <w:rFonts w:hint="eastAsia"/>
                <w:lang w:val="en-US" w:eastAsia="zh-CN"/>
              </w:rPr>
              <w:t>10</w:t>
            </w:r>
          </w:p>
        </w:tc>
      </w:tr>
    </w:tbl>
    <w:p w:rsidR="00663B33" w:rsidRDefault="008D7748" w:rsidP="00663B33">
      <w:pPr>
        <w:jc w:val="left"/>
        <w:rPr>
          <w:b/>
          <w:sz w:val="28"/>
        </w:rPr>
      </w:pPr>
      <w:r>
        <w:rPr>
          <w:rFonts w:hint="eastAsia"/>
          <w:b/>
          <w:sz w:val="28"/>
        </w:rPr>
        <w:t>六、方案</w:t>
      </w:r>
      <w:r w:rsidR="00663B33" w:rsidRPr="007E3282">
        <w:rPr>
          <w:rFonts w:hint="eastAsia"/>
          <w:b/>
          <w:sz w:val="28"/>
        </w:rPr>
        <w:t>要求</w:t>
      </w:r>
    </w:p>
    <w:p w:rsidR="00663B33" w:rsidRDefault="00663B33" w:rsidP="00663B33">
      <w:pPr>
        <w:jc w:val="left"/>
        <w:rPr>
          <w:b/>
          <w:sz w:val="28"/>
        </w:rPr>
      </w:pPr>
      <w:r>
        <w:rPr>
          <w:rFonts w:hint="eastAsia"/>
          <w:b/>
          <w:sz w:val="28"/>
        </w:rPr>
        <w:t>1</w:t>
      </w:r>
      <w:r w:rsidR="008D7748">
        <w:rPr>
          <w:rFonts w:hint="eastAsia"/>
          <w:b/>
          <w:sz w:val="28"/>
        </w:rPr>
        <w:t>、活性焦吸附塔的布置构想</w:t>
      </w:r>
    </w:p>
    <w:p w:rsidR="00663B33" w:rsidRPr="007E3282" w:rsidRDefault="008D7748" w:rsidP="00BB6334">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为节约占地，同时增大活性焦吸附塔单塔处理能力。根据吸附理论进行活性焦吸附塔布置构想</w:t>
      </w:r>
      <w:r w:rsidR="00BB6334">
        <w:rPr>
          <w:rFonts w:ascii="Times New Roman" w:eastAsia="宋体" w:hAnsi="Times New Roman" w:cs="Times New Roman" w:hint="eastAsia"/>
          <w:sz w:val="24"/>
          <w:szCs w:val="24"/>
        </w:rPr>
        <w:t>。</w:t>
      </w:r>
    </w:p>
    <w:p w:rsidR="00663B33" w:rsidRPr="00663B33" w:rsidRDefault="00663B33" w:rsidP="00663B33">
      <w:pPr>
        <w:jc w:val="left"/>
        <w:rPr>
          <w:b/>
          <w:sz w:val="28"/>
        </w:rPr>
      </w:pPr>
      <w:r w:rsidRPr="00663B33">
        <w:rPr>
          <w:rFonts w:hint="eastAsia"/>
          <w:b/>
          <w:sz w:val="28"/>
        </w:rPr>
        <w:t>2</w:t>
      </w:r>
      <w:r w:rsidRPr="00663B33">
        <w:rPr>
          <w:rFonts w:hint="eastAsia"/>
          <w:b/>
          <w:sz w:val="28"/>
        </w:rPr>
        <w:t>、成果要求</w:t>
      </w:r>
    </w:p>
    <w:p w:rsidR="004D3B8F" w:rsidRPr="00663B33" w:rsidRDefault="008D7748" w:rsidP="00663B3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提供活性焦吸附塔的布置构想图及方案说明</w:t>
      </w:r>
      <w:r w:rsidR="00097651">
        <w:rPr>
          <w:rFonts w:ascii="Times New Roman" w:hAnsi="Times New Roman" w:cs="Times New Roman" w:hint="eastAsia"/>
          <w:sz w:val="24"/>
        </w:rPr>
        <w:t>。</w:t>
      </w:r>
    </w:p>
    <w:p w:rsidR="004D3B8F" w:rsidRPr="004D3B8F" w:rsidRDefault="004D3B8F" w:rsidP="004D3B8F">
      <w:pPr>
        <w:spacing w:line="360" w:lineRule="auto"/>
        <w:rPr>
          <w:rFonts w:ascii="Times New Roman" w:eastAsia="宋体" w:hAnsi="Times New Roman" w:cs="Times New Roman"/>
          <w:sz w:val="24"/>
          <w:szCs w:val="24"/>
        </w:rPr>
      </w:pPr>
    </w:p>
    <w:sectPr w:rsidR="004D3B8F" w:rsidRPr="004D3B8F" w:rsidSect="00FA1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01C" w:rsidRDefault="0015201C" w:rsidP="00097651">
      <w:r>
        <w:separator/>
      </w:r>
    </w:p>
  </w:endnote>
  <w:endnote w:type="continuationSeparator" w:id="1">
    <w:p w:rsidR="0015201C" w:rsidRDefault="0015201C" w:rsidP="00097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01C" w:rsidRDefault="0015201C" w:rsidP="00097651">
      <w:r>
        <w:separator/>
      </w:r>
    </w:p>
  </w:footnote>
  <w:footnote w:type="continuationSeparator" w:id="1">
    <w:p w:rsidR="0015201C" w:rsidRDefault="0015201C" w:rsidP="00097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DE9"/>
    <w:multiLevelType w:val="hybridMultilevel"/>
    <w:tmpl w:val="192C2FF8"/>
    <w:lvl w:ilvl="0" w:tplc="914487C6">
      <w:start w:val="1"/>
      <w:numFmt w:val="decimal"/>
      <w:lvlText w:val="图4-%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4917E0"/>
    <w:multiLevelType w:val="hybridMultilevel"/>
    <w:tmpl w:val="6D14F8C2"/>
    <w:lvl w:ilvl="0" w:tplc="30128590">
      <w:start w:val="1"/>
      <w:numFmt w:val="decimal"/>
      <w:lvlText w:val="图1-%1"/>
      <w:lvlJc w:val="center"/>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CE6"/>
    <w:rsid w:val="00097651"/>
    <w:rsid w:val="001133ED"/>
    <w:rsid w:val="00140367"/>
    <w:rsid w:val="0015201C"/>
    <w:rsid w:val="00206724"/>
    <w:rsid w:val="00304FCE"/>
    <w:rsid w:val="00460A2A"/>
    <w:rsid w:val="004D0919"/>
    <w:rsid w:val="004D3B8F"/>
    <w:rsid w:val="005F0E0C"/>
    <w:rsid w:val="00663B33"/>
    <w:rsid w:val="00704C24"/>
    <w:rsid w:val="0072048C"/>
    <w:rsid w:val="00746147"/>
    <w:rsid w:val="007E3282"/>
    <w:rsid w:val="00810CE6"/>
    <w:rsid w:val="008664A9"/>
    <w:rsid w:val="008D7748"/>
    <w:rsid w:val="0090076F"/>
    <w:rsid w:val="00A04EBA"/>
    <w:rsid w:val="00A83F1C"/>
    <w:rsid w:val="00A96816"/>
    <w:rsid w:val="00B066BA"/>
    <w:rsid w:val="00BB6334"/>
    <w:rsid w:val="00BE7473"/>
    <w:rsid w:val="00CB3F94"/>
    <w:rsid w:val="00D940A0"/>
    <w:rsid w:val="00E13ABA"/>
    <w:rsid w:val="00E65E83"/>
    <w:rsid w:val="00EA0AC9"/>
    <w:rsid w:val="00EA2D37"/>
    <w:rsid w:val="00F75EF0"/>
    <w:rsid w:val="00FA19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147"/>
    <w:rPr>
      <w:sz w:val="18"/>
      <w:szCs w:val="18"/>
    </w:rPr>
  </w:style>
  <w:style w:type="character" w:customStyle="1" w:styleId="Char">
    <w:name w:val="批注框文本 Char"/>
    <w:basedOn w:val="a0"/>
    <w:link w:val="a3"/>
    <w:uiPriority w:val="99"/>
    <w:semiHidden/>
    <w:rsid w:val="00746147"/>
    <w:rPr>
      <w:sz w:val="18"/>
      <w:szCs w:val="18"/>
    </w:rPr>
  </w:style>
  <w:style w:type="paragraph" w:styleId="a4">
    <w:name w:val="header"/>
    <w:basedOn w:val="a"/>
    <w:link w:val="Char0"/>
    <w:uiPriority w:val="99"/>
    <w:unhideWhenUsed/>
    <w:rsid w:val="00097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97651"/>
    <w:rPr>
      <w:sz w:val="18"/>
      <w:szCs w:val="18"/>
    </w:rPr>
  </w:style>
  <w:style w:type="paragraph" w:styleId="a5">
    <w:name w:val="footer"/>
    <w:basedOn w:val="a"/>
    <w:link w:val="Char1"/>
    <w:uiPriority w:val="99"/>
    <w:unhideWhenUsed/>
    <w:rsid w:val="00097651"/>
    <w:pPr>
      <w:tabs>
        <w:tab w:val="center" w:pos="4153"/>
        <w:tab w:val="right" w:pos="8306"/>
      </w:tabs>
      <w:snapToGrid w:val="0"/>
      <w:jc w:val="left"/>
    </w:pPr>
    <w:rPr>
      <w:sz w:val="18"/>
      <w:szCs w:val="18"/>
    </w:rPr>
  </w:style>
  <w:style w:type="character" w:customStyle="1" w:styleId="Char1">
    <w:name w:val="页脚 Char"/>
    <w:basedOn w:val="a0"/>
    <w:link w:val="a5"/>
    <w:uiPriority w:val="99"/>
    <w:rsid w:val="00097651"/>
    <w:rPr>
      <w:sz w:val="18"/>
      <w:szCs w:val="18"/>
    </w:rPr>
  </w:style>
  <w:style w:type="paragraph" w:styleId="a6">
    <w:name w:val="Normal Indent"/>
    <w:aliases w:val="特点,标题4,正文缩进 Char,正文（首行缩进两字） Char Char Char,正文缩进 Char1,正文缩进 Char Char Char Char Char Char Char,正文缩进 Char Char Char Char Char Char Char Char Char Char Char Char Char Char Char Char Char Char Char Char Char Char Char Char Char Char,表正文,正文非缩进, Char1,段1"/>
    <w:basedOn w:val="a"/>
    <w:link w:val="Char2"/>
    <w:rsid w:val="00B066BA"/>
    <w:pPr>
      <w:ind w:firstLineChars="200" w:firstLine="420"/>
    </w:pPr>
    <w:rPr>
      <w:rFonts w:ascii="Calibri" w:eastAsia="宋体" w:hAnsi="Calibri" w:cs="Times New Roman"/>
      <w:szCs w:val="24"/>
    </w:rPr>
  </w:style>
  <w:style w:type="character" w:customStyle="1" w:styleId="Char2">
    <w:name w:val="正文缩进 Char2"/>
    <w:aliases w:val="特点 Char,标题4 Char,正文缩进 Char Char,正文（首行缩进两字） Char Char Char Char,正文缩进 Char1 Char,正文缩进 Char Char Char Char Char Char Char Char,表正文 Char,正文非缩进 Char, Char1 Char,段1 Char"/>
    <w:link w:val="a6"/>
    <w:rsid w:val="00B066BA"/>
    <w:rPr>
      <w:rFonts w:ascii="Calibri" w:eastAsia="宋体" w:hAnsi="Calibri" w:cs="Times New Roman"/>
      <w:szCs w:val="24"/>
    </w:rPr>
  </w:style>
  <w:style w:type="paragraph" w:customStyle="1" w:styleId="a7">
    <w:name w:val="！表格中"/>
    <w:basedOn w:val="a"/>
    <w:next w:val="a"/>
    <w:rsid w:val="00EA0AC9"/>
    <w:pPr>
      <w:jc w:val="center"/>
    </w:pPr>
    <w:rPr>
      <w:rFonts w:ascii="Times New Roman" w:eastAsia="宋体" w:hAnsi="Times New Roman" w:cs="Times New Roman"/>
      <w:sz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6147"/>
    <w:rPr>
      <w:sz w:val="18"/>
      <w:szCs w:val="18"/>
    </w:rPr>
  </w:style>
  <w:style w:type="character" w:customStyle="1" w:styleId="Char">
    <w:name w:val="批注框文本 Char"/>
    <w:basedOn w:val="a0"/>
    <w:link w:val="a3"/>
    <w:uiPriority w:val="99"/>
    <w:semiHidden/>
    <w:rsid w:val="00746147"/>
    <w:rPr>
      <w:sz w:val="18"/>
      <w:szCs w:val="18"/>
    </w:rPr>
  </w:style>
  <w:style w:type="paragraph" w:styleId="a4">
    <w:name w:val="header"/>
    <w:basedOn w:val="a"/>
    <w:link w:val="Char0"/>
    <w:uiPriority w:val="99"/>
    <w:unhideWhenUsed/>
    <w:rsid w:val="00097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97651"/>
    <w:rPr>
      <w:sz w:val="18"/>
      <w:szCs w:val="18"/>
    </w:rPr>
  </w:style>
  <w:style w:type="paragraph" w:styleId="a5">
    <w:name w:val="footer"/>
    <w:basedOn w:val="a"/>
    <w:link w:val="Char1"/>
    <w:uiPriority w:val="99"/>
    <w:unhideWhenUsed/>
    <w:rsid w:val="00097651"/>
    <w:pPr>
      <w:tabs>
        <w:tab w:val="center" w:pos="4153"/>
        <w:tab w:val="right" w:pos="8306"/>
      </w:tabs>
      <w:snapToGrid w:val="0"/>
      <w:jc w:val="left"/>
    </w:pPr>
    <w:rPr>
      <w:sz w:val="18"/>
      <w:szCs w:val="18"/>
    </w:rPr>
  </w:style>
  <w:style w:type="character" w:customStyle="1" w:styleId="Char1">
    <w:name w:val="页脚 Char"/>
    <w:basedOn w:val="a0"/>
    <w:link w:val="a5"/>
    <w:uiPriority w:val="99"/>
    <w:rsid w:val="00097651"/>
    <w:rPr>
      <w:sz w:val="18"/>
      <w:szCs w:val="18"/>
    </w:rPr>
  </w:style>
  <w:style w:type="paragraph" w:styleId="a6">
    <w:name w:val="Normal Indent"/>
    <w:aliases w:val="特点,标题4,正文缩进 Char,正文（首行缩进两字） Char Char Char,正文缩进 Char1,正文缩进 Char Char Char Char Char Char Char,正文缩进 Char Char Char Char Char Char Char Char Char Char Char Char Char Char Char Char Char Char Char Char Char Char Char Char Char Char,表正文,正文非缩进, Char1,段1"/>
    <w:basedOn w:val="a"/>
    <w:link w:val="Char2"/>
    <w:rsid w:val="00B066BA"/>
    <w:pPr>
      <w:ind w:firstLineChars="200" w:firstLine="420"/>
    </w:pPr>
    <w:rPr>
      <w:rFonts w:ascii="Calibri" w:eastAsia="宋体" w:hAnsi="Calibri" w:cs="Times New Roman"/>
      <w:szCs w:val="24"/>
    </w:rPr>
  </w:style>
  <w:style w:type="character" w:customStyle="1" w:styleId="Char2">
    <w:name w:val="正文缩进 Char2"/>
    <w:aliases w:val="特点 Char,标题4 Char,正文缩进 Char Char,正文（首行缩进两字） Char Char Char Char,正文缩进 Char1 Char,正文缩进 Char Char Char Char Char Char Char Char,表正文 Char,正文非缩进 Char, Char1 Char,段1 Char"/>
    <w:link w:val="a6"/>
    <w:rsid w:val="00B066BA"/>
    <w:rPr>
      <w:rFonts w:ascii="Calibri" w:eastAsia="宋体" w:hAnsi="Calibri" w:cs="Times New Roman"/>
      <w:szCs w:val="24"/>
    </w:rPr>
  </w:style>
  <w:style w:type="paragraph" w:customStyle="1" w:styleId="a7">
    <w:name w:val="！表格中"/>
    <w:basedOn w:val="a"/>
    <w:next w:val="a"/>
    <w:rsid w:val="00EA0AC9"/>
    <w:pPr>
      <w:jc w:val="center"/>
    </w:pPr>
    <w:rPr>
      <w:rFonts w:ascii="Times New Roman" w:eastAsia="宋体" w:hAnsi="Times New Roman" w:cs="Times New Roman"/>
      <w:sz w:val="24"/>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张春瑜</cp:lastModifiedBy>
  <cp:revision>16</cp:revision>
  <dcterms:created xsi:type="dcterms:W3CDTF">2019-04-24T12:20:00Z</dcterms:created>
  <dcterms:modified xsi:type="dcterms:W3CDTF">2019-05-17T09:22:00Z</dcterms:modified>
</cp:coreProperties>
</file>